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https://www.autoritedelaconcurrence.fr/fr/decision-de-controle-des-concentrations/relative-la-prise-de-controle-exclusif-de-la-societe-sintex</w:t>
      </w:r>
    </w:p>
    <w:p>
      <w:r>
        <w:t>Pages translated : 2</w:t>
      </w:r>
    </w:p>
    <w:p/>
    <w:p>
      <w:r>
        <w:rPr>
          <w:b/>
        </w:rPr>
        <w:t>[Pages 1–2]</w:t>
      </w:r>
    </w:p>
    <w:p>
      <w:r>
        <w:t xml:space="preserve">FRENCH REPUBLIC  </w:t>
        <w:br/>
        <w:t xml:space="preserve">Decision No. 19-DCC-176 of September 13, 2019  </w:t>
        <w:br/>
        <w:t xml:space="preserve">regarding the exclusive control acquisition of the company Sintex NP by the  </w:t>
        <w:br/>
        <w:t xml:space="preserve">company Sigefi Private Equity  </w:t>
        <w:br/>
        <w:t xml:space="preserve">The Competition Authority,  </w:t>
        <w:br/>
        <w:t xml:space="preserve">Having regard to the complete notification file submitted to the mergers department on August 12, 2019,  </w:t>
        <w:br/>
        <w:t xml:space="preserve">concerning the exclusive control acquisition of the company Sintex NP by the company Sigefi Private Equity,  </w:t>
        <w:br/>
        <w:t xml:space="preserve">formalized by a unilateral promise to purchase shares dated August 9,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Sintex NP by the  </w:t>
        <w:br/>
        <w:t xml:space="preserve">company Sigefi Private Equity. It constitutes a concentration within the meaning of Article L. 430-1 of the  </w:t>
        <w:br/>
        <w:t xml:space="preserve">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the processing of plastics and the manufacturing of precision metal parts and the assembly of electronic components, which are consistently defined by the decision-making practice of the competition authorities.  </w:t>
        <w:br/>
        <w:t xml:space="preserve">3. Regardless of the segmentations retained, the cumulative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19-218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