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https://www.autoritedelaconcurrence.fr/fr/decision-de-controle-des-concentrations/relative-la-prise-de-controle-exclusif-de-la-societe-sipro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26-DCC-140 of July 3, 2026  </w:t>
        <w:br/>
        <w:t xml:space="preserve">regarding the exclusive control acquisition of the company Sipro by the company  </w:t>
        <w:br/>
        <w:t xml:space="preserve">Remondis Medison  </w:t>
        <w:br/>
        <w:t>The Competition Authority,</w:t>
      </w:r>
    </w:p>
    <w:p>
      <w:r>
        <w:t xml:space="preserve">Having regard to the complete notification file sent to the mergers department on June 18, 2026,  </w:t>
        <w:br/>
        <w:t xml:space="preserve">concerning the exclusive control acquisition of the company Sipro by the company Remondis Medison,  </w:t>
        <w:br/>
        <w:t>formalized by a share purchase agreement signed on May 13, 2026;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acquisition, by the company Remondis Medison,  </w:t>
        <w:br/>
        <w:t xml:space="preserve">of the company Sipro, active in the waste management sector. The operation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26-113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