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https://www.autoritedelaconcurrence.fr/fr/decision-de-controle-des-concentrations/relative-la-prise-de-controle-exclusif-de-la-societe-sisca</w:t>
      </w:r>
    </w:p>
    <w:p>
      <w:r>
        <w:t>Pages translated : 14</w:t>
      </w:r>
    </w:p>
    <w:p/>
    <w:p>
      <w:r>
        <w:rPr>
          <w:b/>
        </w:rPr>
        <w:t>[Pages 1–3]</w:t>
      </w:r>
    </w:p>
    <w:p>
      <w:r>
        <w:t xml:space="preserve">FRENCH REPUBLIC  </w:t>
        <w:br/>
        <w:t xml:space="preserve">Decision No. 25-DCC-212 of September 18, 2025  </w:t>
        <w:br/>
        <w:t xml:space="preserve">regarding the exclusive control of the company S.I.S.C.A. by the  </w:t>
        <w:br/>
        <w:t xml:space="preserve">company Pompac Développement  </w:t>
        <w:br/>
        <w:t xml:space="preserve">The Competition Authority,  </w:t>
        <w:br/>
        <w:t xml:space="preserve">Having regard to the notification file sent to the merger service on June 20, 2025, and declared complete on July 25, 2025, regarding the exclusive control of the company S.I.S.C.A. by the company Pompac Développement, formalized by a letter of intent signed on June 6, 2025;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other documents in the file;  </w:t>
        <w:br/>
        <w:t xml:space="preserve">Adopts the following decision:  </w:t>
        <w:br/>
        <w:t xml:space="preserve">I. The concerned companies and the operation  </w:t>
        <w:br/>
        <w:t xml:space="preserve">1. Pompac Développement is a company at the head of a group established throughout the national territory through its network of agencies, notably under the brand "Espace Aubade." This group specializes in the trade of heating, sanitary, electricity, and tiling. In May 2025, Pompac Développement took control of the company Orvif, an independent trading company of sanitary, heating, and air conditioning products, present in Île-de-France. Pompac Développement is owned by the German group Cordes &amp; Graefe K.G., which is one of the main groups of wholesalers in building techniques in Europe.  </w:t>
        <w:br/>
        <w:t xml:space="preserve">2. S.I.S.C.A. is a company at the head of a group specializing in the distribution of equipment for heating, sanitary, tiling, electricity, swimming pools, and renewable energies. It operates 85 agencies and 38 showrooms across France. S.I.S.C.A. is a member of the Algorel network, a purchasing group comprising independent brands specialized in the wholesale trade of heating, sanitary, electricity, and tiling products.  </w:t>
        <w:br/>
        <w:t xml:space="preserve">3. The notified operation consists of the acquisition by Pompac Développement of 50.01% of the capital and voting rights of S.I.S.C.A., granting it decisive influence over the latter. It therefore constitutes a concentration within the meaning of Article L. 430-1 of the Commercial Code.  </w:t>
        <w:br/>
        <w:t xml:space="preserve">4. The concerned companies together achieve a total worldwide turnover of more than 150 million euros (Pompac Développement: [≥ 150 million] euros for the fiscal year ending December 31, 2023; S.I.S.C.A.: [≥ 150 million] euros for the fiscal year ending December 31, 2024). Each of these companies achieves, in France, a turnover exceeding 50 million euros (Pompac Développement: [≥ 50 million] euros for the fiscal year ending December 31, 2023; S.I.S.C.A.: [≥ 50 million] euros for the fiscal year ending December 31, 2024). Given these turnover figures, the operation does not have a European dimension.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5. The operation primarily concerns the upstream markets for the supply and downstream trading of sanitary, heating, and air conditioning products ("SACHA products"), the markets for trading electrical products, and the markets for trading tiling. These markets have already been the subject of several decisions by the Authority and the European Commission, which form a decisional practice on which the present investigation has relied to delineate the relevant markets in this case.  </w:t>
        <w:br/>
        <w:t xml:space="preserve">A. THE MARKETS FOR THE SUPPLY OF SACHA PRODUCTS  </w:t>
        <w:br/>
        <w:t xml:space="preserve">1. THE PRODUCT MARKETS  </w:t>
        <w:br/>
        <w:t xml:space="preserve">6. SACHA products are construction materials that the parties do not manufacture: they are present upstream only as buyers from manufacturers.  </w:t>
        <w:br/>
        <w:t xml:space="preserve">7. Even though the European Commission has not excluded the existence of a global market for the supply of sanitary, heating, and plumbing products, the Authority has distinguished, in the field of construction materials, as many markets as there are "product families" (sanitary, heating, air conditioning, and plumbing). Indeed, the structure of supply, pricing dynamics, and manufacturing constraints can significantly vary from one product family to another. The Authority also observed that manufacturers are generally active only in one or two of these families.  </w:t>
        <w:br/>
        <w:t xml:space="preserve">8. In this case, the question of the precise delineation of the upstream markets for the supply of SACHA products can be left open, insofar as, regardless of the hypothesis retained, the conclusions of the competitive analysis remain unchanged.  </w:t>
        <w:br/>
        <w:t xml:space="preserve">2. THE GEOGRAPHICAL MARKETS  </w:t>
        <w:br/>
        <w:t xml:space="preserve">9. The decisional practice has retained at least a national dimension for the supply of SACHA products. In this case, the competitive analysis was conducted on the French market.  </w:t>
        <w:br/>
        <w:t xml:space="preserve">B. THE MARKETS FOR TRADING SACHA PRODUCTS  </w:t>
        <w:br/>
        <w:t xml:space="preserve">1. THE PRODUCT MARKETS  </w:t>
        <w:br/>
        <w:t xml:space="preserve">10. The trading of construction materials can be defined as "a traditional activity through which traders sell from stock all the materials necessary for building companies." This activity consists of providing professionals with a wide assortment of materials that, although not substitutable for each other, are nevertheless necessary and often associated to carry out a construction project.  </w:t>
        <w:br/>
        <w:t>11. The trader acts as an intermediary between the manufacturers of the products and the installers who often operate at the local level. The materials thus marketed are primarily intended for professionals, which implies specificities in the organization of product distribution as well as in the breadth and depth of the ranges of materials offered. This market is thus distinguished from the retail distribution of DIY materials, in that the offer of traders is aimed at professionals and not individuals, unlike large DIY stores (GSB).</w:t>
      </w:r>
    </w:p>
    <w:p>
      <w:r>
        <w:rPr>
          <w:b/>
        </w:rPr>
        <w:t>[Pages 4–6]</w:t>
      </w:r>
    </w:p>
    <w:p>
      <w:r>
        <w:t>12. Within the construction materials trade, the Authority has established a distinction between "generalist" merchants and "specialists" based on the depth of the range of materials distributed. The offering of generalist merchants indeed covers a complete assortment of product ranges, while specialized merchants have an offering focused on a family of products, deeper ranges, and more advanced expertise on specific product lines, aimed at more specific professionals.</w:t>
      </w:r>
    </w:p>
    <w:p>
      <w:r>
        <w:t>13. The Authority, which distinguished sub-segments according to the specialization of merchants, thus recognized the existence of a segment of the SACHA product trade. Indeed, it appears that regardless of their geographical proximity, generalist retail outlets and specialized retail outlets in SACHA products are only very imperfectly substitutable. The trade in SACHA products is intended to meet the specific needs of a particular category of professionals: plumbers and heating engineers.</w:t>
      </w:r>
    </w:p>
    <w:p>
      <w:r>
        <w:t>14. In this case, the parties being two merchants of SACHA products, the effects of the operation were analyzed in the market for the trade of SACHA products.</w:t>
      </w:r>
    </w:p>
    <w:p>
      <w:r>
        <w:t>2. GEOGRAPHICAL MARKETS</w:t>
      </w:r>
    </w:p>
    <w:p>
      <w:r>
        <w:t>15. Competition authorities consider that the market for the trade of construction materials is of a local dimension and that the routes taken by professionals vary depending on the degree of specialization of the retail outlet concerned. Regarding specialized merchants, the European Commission has thus retained catchment areas defined by a radius of approximately 50 to 75 kilometers around the retail outlet. In terms of SACHA products, the Authority noted that "wholesalers in sanitary-heating delivering materials to professionals do so within a radius of 40 to 60 kilometers, on the one hand, and that professionals wish for their wholesaler to be no more than half an hour's travel away," retaining a departmental dimension.</w:t>
      </w:r>
    </w:p>
    <w:p>
      <w:r>
        <w:t>16. The Authority also noted that the geographical dimension of the market varied due to the specific characteristics of each catchment area (urban density, mountainous area, etc.) and delivery habits. Thus, the Authority may adopt the so-called "actual footprint" method, allowing for the assessment of the actual behavior of consumers when the parties have relevant information, notably through loyalty cards that allow for the localization of residences of a significant portion of their clientele.</w:t>
      </w:r>
    </w:p>
    <w:p>
      <w:r>
        <w:t>17. In this case, the competitive analysis was based on the examination of isochrone local areas, defined around the Pompac Développement agencies, taking into account potential border effects and local characteristics (topography, urban density, etc.) that may reduce or widen the geographical market. In practice, when the parties' activities overlap (through their respective agencies), catchment areas with a radius of 40 kilometers were retained to examine the effects of the operation on the local markets for the trade of SACHA products.</w:t>
      </w:r>
    </w:p>
    <w:p>
      <w:r>
        <w:t>18. Indeed, in this case, this choice appears justified as it corresponds to the deployment areas of Pompac Développement's sales forces on the ground (approximately 1 hour of road travel), concerning predominantly rural territories, and to the majority share of product pick-up by its clients at its agencies.</w:t>
      </w:r>
    </w:p>
    <w:p>
      <w:r>
        <w:t>19. Furthermore, a third party concerned by the operation expressed to the Authority its concerns about its potentially anti-competitive effects: its analysis was based on catchment areas with a radius of 60 kilometers around the cities where the parties have at least one retail outlet. The Authority also took into account this alternative geographical delineation, which remains consistent with the decision-making practice of competition authorities.</w:t>
      </w:r>
    </w:p>
    <w:p>
      <w:r>
        <w:t>20. Finally, regarding the specialized trade in SACHA products, certain elements of the analysis may be examined in a broader context than just the local level. Indeed, several competitive parameters can be evaluated at the national level, notably due to the presence of distribution groups active throughout the French territory and having a wide coverage of retail outlets under a common brand.</w:t>
      </w:r>
    </w:p>
    <w:p>
      <w:r>
        <w:t>21. The competitive analysis of the effects of the operation on the markets for the trade of SACHA products was therefore conducted both at the local level and at the national level.</w:t>
      </w:r>
    </w:p>
    <w:p>
      <w:r>
        <w:t>C. MARKETS FOR THE TRADE OF ELECTRICAL PRODUCTS</w:t>
      </w:r>
    </w:p>
    <w:p>
      <w:r>
        <w:t>1. MARKETS FOR PRODUCTS</w:t>
      </w:r>
    </w:p>
    <w:p>
      <w:r>
        <w:t>22. Electrical products include electrical installation equipment, cables, lighting sources and equipment, as well as communication and security products.</w:t>
      </w:r>
    </w:p>
    <w:p>
      <w:r>
        <w:t>23. In a recent decision, the Authority retained a global market for the distribution to professionals of electrical equipment, without including manufacturers, DIY superstores ("GSB"), and actors primarily active online.</w:t>
      </w:r>
    </w:p>
    <w:p>
      <w:r>
        <w:t>24. In this case, such an approach can be retained for the purposes of the competitive analysis of the operation.</w:t>
      </w:r>
    </w:p>
    <w:p>
      <w:r>
        <w:t>2. GEOGRAPHICAL MARKETS</w:t>
      </w:r>
    </w:p>
    <w:p>
      <w:r>
        <w:t>25. The Authority analyzed the wholesale distribution market for electrical products both at the national and local levels (in catchment areas defined by a radius of 30 kilometers around the target agencies).</w:t>
      </w:r>
    </w:p>
    <w:p>
      <w:r>
        <w:t>26. Indeed, the proximity of agencies is of particular importance for professionals insofar as "the existence of a dense network of agencies is the guarantee of being able to have a wide range of products, expert advice, and very short delivery times."</w:t>
      </w:r>
    </w:p>
    <w:p>
      <w:r>
        <w:t>27. However, the Authority noted that the geographical dimension of the market varied due to the specific characteristics of each catchment area (urban density, mountainous area, etc.) and delivery habits. Thus, the Authority may adopt the so-called "actual footprint" method, allowing for the assessment of the actual behavior of consumers in a given area when the parties have relevant information, notably through loyalty cards that allow for the localization of residences of a significant portion of their clientele.</w:t>
      </w:r>
    </w:p>
    <w:p>
      <w:r>
        <w:t>28. In this case, the competitive analysis was based on the examination of local areas around the Pompac Développement agencies, within a radius of 30 kilometers, taking into account potential border effects and local characteristics (topography, urban density, etc.) that may reduce or widen the geographical market.</w:t>
      </w:r>
    </w:p>
    <w:p>
      <w:r>
        <w:t>29. The competitive analysis of the effects of the operation on the markets for the trade of electrical products was also conducted at the national level.</w:t>
      </w:r>
    </w:p>
    <w:p>
      <w:r>
        <w:t>D. MARKETS FOR THE TRADE OF TILING</w:t>
      </w:r>
    </w:p>
    <w:p>
      <w:r>
        <w:t>1. MARKETS FOR PRODUCTS</w:t>
      </w:r>
    </w:p>
    <w:p>
      <w:r>
        <w:t>30. Decision-making practice has considered the existence of a market for specialized tiling trade. The end customer would be more involved in the choice of tiling than in the choice of other construction materials, notably SACHA products. The Authority notably noted that the tiling offering of generalist merchants as well as GSBs is not substitutable for that of specialized tiling merchants. These purchasing behaviors can be explained notably by the fact that specialized tiling merchants offer a range of tiling unmatched by that offered by generalist merchants and GSBs. Furthermore, specialized merchants also offer ancillary services to their clients (showrooms, for example) and allow their clients to have accounts that provide pricing advantages based on ordered volumes.</w:t>
      </w:r>
    </w:p>
    <w:p>
      <w:r>
        <w:t>31. In this case, the competitive analysis was conducted on a market for specialized tiling trade.</w:t>
      </w:r>
    </w:p>
    <w:p>
      <w:r>
        <w:t>2. GEOGRAPHICAL MARKETS</w:t>
      </w:r>
    </w:p>
    <w:p>
      <w:r>
        <w:rPr>
          <w:b/>
        </w:rPr>
        <w:t>[Pages 7–9]</w:t>
      </w:r>
    </w:p>
    <w:p>
      <w:r>
        <w:t>32. The Authority had the opportunity to analyze the specialized tile trading market at the local level, considering in particular that "the clientele of construction material dealers is only willing to travel for their supplies within a maximum radius of 50 to 75 km for specialized sales points."</w:t>
      </w:r>
    </w:p>
    <w:p>
      <w:r>
        <w:t>33. In this case, the competitive analysis was based on the examination of local areas defined by a radius of 50 kilometers for urban areas and 75 kilometers for rural areas around the Pompac Développement agencies, depending on the density of the available local supply. Given the characteristics of the areas concerned, the Authority considers this approach appropriate for assessing the potential effects on competition of the present operation in the tile trading markets.</w:t>
      </w:r>
    </w:p>
    <w:p>
      <w:r>
        <w:t>34. The competitive analysis of the effects of the operation on the tile trading markets was also conducted at the national level, in line with the decision-making practice regarding the trading markets for SACHA products and electrical products.</w:t>
      </w:r>
    </w:p>
    <w:p>
      <w:r>
        <w:t>III. Competitive Analysis</w:t>
      </w:r>
    </w:p>
    <w:p>
      <w:r>
        <w:t>35. The operation leads to an overlap of activities between the parties, and thus essentially to horizontal effects, in the markets for the supply of SACHA products (1.), trading of SACHA products (2.), trading of electrical products (3.), and trading of tiles (4).</w:t>
      </w:r>
    </w:p>
    <w:p>
      <w:r>
        <w:t>36. The competitive analysis took into account the recent acquisitions of Pompac Développement, particularly the companies Orvif, Routhiau, and Frazzi and their respective agencies.</w:t>
      </w:r>
    </w:p>
    <w:p>
      <w:r>
        <w:t>37. Furthermore, the Authority received input from a third party concerned by the operation, which identified several risks of harm to competition that are discussed below. No other third party came forward during the investigation.</w:t>
      </w:r>
    </w:p>
    <w:p>
      <w:r>
        <w:t>A. THE MARKETS FOR THE SUPPLY OF SACHA PRODUCTS</w:t>
      </w:r>
    </w:p>
    <w:p>
      <w:r>
        <w:t>38. The parties are simultaneously active in the upstream market for the supply of SACHA products in France.</w:t>
      </w:r>
    </w:p>
    <w:p>
      <w:r>
        <w:t>39. At the national level, in the overall market for the supply of SACHA products, the purchasing market share of Pompac Développement is estimated at [10-20]% and that of S.I.S.C.A. at less than 5%. The market share of the new entity is therefore below 25%, a threshold below which it is presumed that the operation does not harm competition through unilateral effects. The new entity will face competition from several significant players, including Algorel (approximately 20%), SGDB – Saint Gobain ([20-30]%), Groupe Martin Belaysoud (5-10%), Richardson (5-10%), and Orcab (5-10%).</w:t>
      </w:r>
    </w:p>
    <w:p>
      <w:r>
        <w:t>40. A finer segmentation according to the major families of SACHA products (heating-air conditioning, sanitary, plumbing) leads to cumulative purchasing market shares of the parties also below 25% with low increments, with S.I.S.C.A.'s position at the national level being very limited.</w:t>
      </w:r>
    </w:p>
    <w:p>
      <w:r>
        <w:t>41. Moreover, the Authority notes that there are many and significant manufacturers of SACHA products (in terms of size and reputation): Mitsubishi Electric, Atlantic, or Ronal, for example. They would thus have significant bargaining power compared to that of the new entity.</w:t>
      </w:r>
    </w:p>
    <w:p>
      <w:r>
        <w:t>42. However, the third party concerned by the operation identified a risk of reduced competition in this market as the recent acquisitions of Pompac Développement and the proposed acquisition of S.I.S.C.A. reduce the number of members of the Algorel group and would place it in a less favorable position to negotiate the commercial terms of SACHA products with manufacturers.</w:t>
      </w:r>
    </w:p>
    <w:p>
      <w:r>
        <w:t>43. The Authority, however, took into account the "loss" of this member in the Algorel group for the estimation of the positions of buyers of SACHA products at the national level: the operation thus places the new entity at a purchasing level equivalent to Algorel and SGDB – Saint Gobain (between [20-30]% each).</w:t>
      </w:r>
    </w:p>
    <w:p>
      <w:r>
        <w:t>44. Furthermore, the individual position of S.I.S.C.A. in the market for the supply of SACHA products is relatively modest, below 5%. Therefore, the operation does not significantly alter the structure of this market in France, which remains dominated by these three major players.</w:t>
      </w:r>
    </w:p>
    <w:p>
      <w:r>
        <w:t>45. The fact that one of them loses market share to another has no impact on the conclusions of the analysis: merger control, whose primary objective is the preservation of competition, should not be confused with the protection of competitors. It is up to them, if the structure of the post-operation markets remains competitive, to adopt strategies to maintain or even increase their positions based on their merits.</w:t>
      </w:r>
    </w:p>
    <w:p>
      <w:r>
        <w:t>46. Consequently, the operation is not likely to harm competition through horizontal effects in the market for the supply of SACHA products.</w:t>
      </w:r>
    </w:p>
    <w:p>
      <w:r>
        <w:t>B. THE MARKETS FOR TRADING SACHA PRODUCTS</w:t>
      </w:r>
    </w:p>
    <w:p>
      <w:r>
        <w:t>47. At the national level, the market share of the new entity is equivalent to that estimated in the upstream market for the supply of SACHA products, i.e., less than 25%.</w:t>
      </w:r>
    </w:p>
    <w:p>
      <w:r>
        <w:t>48. At the local level, the competitive analysis was conducted within a 40-kilometer radius from the Pompac Développement agencies. The market shares were estimated by the notifying party based on public studies and the turnover achieved by each of their agencies in the local areas where their activities overlap.</w:t>
      </w:r>
    </w:p>
    <w:p>
      <w:r>
        <w:t>49. On this basis, the notifying party identified five affected local areas, within the meaning of merger control law, in Rodez (12), Aurillac (15), Bayonne (64), Macon (71), and Saint-Etienne (42).</w:t>
      </w:r>
    </w:p>
    <w:p>
      <w:r>
        <w:t>Market Share Market Share Market Share of</w:t>
        <w:br/>
        <w:t>Area</w:t>
        <w:br/>
        <w:t>Pompac Développement S.I.S.C.A. the new entity</w:t>
        <w:br/>
        <w:t>Rodez [20-30]% [5-10]% [30-40]%</w:t>
        <w:br/>
        <w:t>Aurillac [30-40]% [5-10]% [30-40]%</w:t>
        <w:br/>
        <w:t>Bayonne [0-5]% [20-30]% [30-40]%</w:t>
        <w:br/>
        <w:t>Macon [30-40]% [0-5]% [30-40]%</w:t>
        <w:br/>
        <w:t>Saint Etienne [20-30]% [0-5]% [30-40]%</w:t>
      </w:r>
    </w:p>
    <w:p>
      <w:r>
        <w:t>50. First, two of these five areas see their local competitive structure marginally modified as the overlaps of activity between the parties there are very limited, below two points. Thus, in the areas of Bayonne and Saint-Etienne, the market power of the new entity is not strengthened, especially since its position remains below 40% with the existence of numerous competing agencies.</w:t>
      </w:r>
    </w:p>
    <w:p>
      <w:r>
        <w:t>51. In the Rodez area, the estimated market share of the new entity remains below 40%. The Authority notes the existence of several credible competing brands capable of offering alternatives to the parties' agencies: Cedeo ([10-20]%), Rouchy ([10-20]%), CCL ([10-20]%), and Gedimat ([10-20]%).</w:t>
      </w:r>
    </w:p>
    <w:p>
      <w:r>
        <w:t>52. In the Aurillac area, the estimated market share of the new entity remains below 40%. The Authority notes the existence of several credible competing brands capable of offering alternatives to the parties' agencies: Cedeo ([10-20]%), Rouchy ([10-20]%), Puybaret ([10-20]%), and Gedimat ([10-20]%).</w:t>
      </w:r>
    </w:p>
    <w:p>
      <w:r>
        <w:t>53. In the Macon area, the estimated market share of the new entity remains below 40%. The Authority notes the existence of several credible competing brands capable of offering alternatives to the parties' agencies: Cedeo (5-10%), Tereva (5-10%), Richardson (5-10%), Plattard (0-5%), and Prolians-Maringue Sagetat (0-5%).</w:t>
      </w:r>
    </w:p>
    <w:p>
      <w:r>
        <w:t>25 Thus, the market for trading SACHA products is described in the 2024 economic study by Xerfi and represents, in 2023, a value of 8.8 billion euros.</w:t>
      </w:r>
    </w:p>
    <w:p>
      <w:r>
        <w:t>26 Given the method used to calculate their market shares, the parties were unable to provide estimates of their competitors' market shares at a level of granularity equivalent to that which they provided. However, based on their knowledge of the market, they were able to provide information regarding the competitive pressure exerted by their competitors in general, which is reflected in market share ranges. In any case, the existence of competing agencies capable of offering alternatives to the parties is likely to eliminate the risks of unilateral effects locally.</w:t>
      </w:r>
    </w:p>
    <w:p>
      <w:r>
        <w:rPr>
          <w:b/>
        </w:rPr>
        <w:t>[Pages 10–12]</w:t>
      </w:r>
    </w:p>
    <w:p>
      <w:r>
        <w:t>54. The Authority notes that the identified competing brands are credible for the following reasons.</w:t>
      </w:r>
    </w:p>
    <w:p>
      <w:r>
        <w:t>55. Cedeo is a brand of the Saint-Gobain group, which operates nationally with 530 agencies. Its turnover amounts to 2 billion euros, representing an estimated national market share of [20-30]% according to the notifying party.</w:t>
      </w:r>
    </w:p>
    <w:p>
      <w:r>
        <w:t>56. Gedimat has a network of 500 agencies in France and positions itself as an independent regional brand specializing in materials, with a strong focus on sanitary and tiling products.</w:t>
      </w:r>
    </w:p>
    <w:p>
      <w:r>
        <w:t>57. Rouchy is a regional brand, with 7 agencies and a turnover of 50 million euros.</w:t>
      </w:r>
    </w:p>
    <w:p>
      <w:r>
        <w:t>58. CCL is a regional brand that has 30 agencies with a turnover of 240 million euros.</w:t>
      </w:r>
    </w:p>
    <w:p>
      <w:r>
        <w:t>59. Puybaret is a regional brand with 8 agencies and a turnover of approximately 50 million euros according to the notifying party.</w:t>
      </w:r>
    </w:p>
    <w:p>
      <w:r>
        <w:t>60. Tereva is a brand owned by the Martin Belaysoud group, which has a total of 85 points of sale, mainly located in the southwest of France, the Rhône basin, and the Paris region. This group achieves a turnover of approximately 1 billion euros.</w:t>
      </w:r>
    </w:p>
    <w:p>
      <w:r>
        <w:t>61. Richardson is a competing brand already identified by the Authority in a previous decision. It operates more than 120 agencies in France and achieves a turnover of approximately 700 million euros.</w:t>
      </w:r>
    </w:p>
    <w:p>
      <w:r>
        <w:t>62. Plattard is a subsidiary of Samse, a French group distributing construction materials and DIY products founded in 1920. In 2024, it has a network of 430 points of sale spread across 68 departments and achieves a turnover of approximately 1 billion euros.</w:t>
      </w:r>
    </w:p>
    <w:p>
      <w:r>
        <w:t>63. Prolians-Maringue Sagetat is a brand of the Descours &amp; Cabaud group, which has 421 points of sale in France and achieves a turnover of 4.7 billion euros in 2024.</w:t>
      </w:r>
    </w:p>
    <w:p>
      <w:r>
        <w:t>64. A third party interested in the operation, however, communicated its own estimates of the market shares of the parties that differ from those provided by the notifying party. It identified nine local areas, defined by a radius of 60 kilometers (and not 40 kilometers), that would be affected, within the meaning of merger control law, identified in the table below.</w:t>
      </w:r>
    </w:p>
    <w:p>
      <w:r>
        <w:t>65. It should first be noted that the activities of the parties do not overlap in the Pau area (64) as Pompac Développement does not hold an agency there: the operation therefore does not alter the competitive structure locally.</w:t>
      </w:r>
    </w:p>
    <w:p>
      <w:r>
        <w:t>66. Furthermore, the methodology employed by this third party is contested by the notifying party, which estimated the market shares of the parties based on the actual turnover achieved by their sites (and not from extrapolation of their total public turnover). The notifying party points out that the turnover of each site can thus vary from 600,000 euros to several tens of millions of euros, which distorts the average used by the interested third party for each site. Consequently, the data provided by the notifying party appears more robust for estimating the market shares in value of the parties to the operation at the local level.</w:t>
      </w:r>
    </w:p>
    <w:p>
      <w:r>
        <w:t>67. In any case, the Authority notes, in each area, the presence of at least three credible competitors that provide alternatives to the agencies of the parties locally, particularly if they are national or regional brands capable of offering products in ranges and prices equivalent to those of the parties.</w:t>
      </w:r>
    </w:p>
    <w:p>
      <w:r>
        <w:t>68. By retaining a local area defined by a radius of 60 kilometers around the Pompac Développement agencies and based on its own estimates, the notifying party identified four affected local areas, within the meaning of merger control law, in Guingamp (22), Vannes (56), Bayonne (64), and Rodez (12).</w:t>
      </w:r>
    </w:p>
    <w:p>
      <w:r>
        <w:t>69. For these four areas, it should be noted that three of them see their local competitive structure marginally modified as the overlap of activities between the parties is very limited, less than [0-5] points. Thus, in the areas of Guingamp, Vannes, and Bayonne, the market power of the new entity is not strengthened, especially since its position remains below 40% with the existence of numerous competing agencies mentioned above.</w:t>
      </w:r>
    </w:p>
    <w:p>
      <w:r>
        <w:t>70. In the Rodez area, the market share of the new entity is estimated at [30-40]% with an increment of 6.3 points. There are, in this area, many competitors that constitute credible alternatives to the agencies of the parties: Cedeo ([10-20]%), Rouchy ([10-20]%), CCL ([10-20]%), Sonepar (0-5%) and Rexel (0-5%).</w:t>
      </w:r>
    </w:p>
    <w:p>
      <w:r>
        <w:t>71. Given all these elements, the operation is not likely to harm competition through horizontal effects in the markets for the trading of SACHA products.</w:t>
      </w:r>
    </w:p>
    <w:p>
      <w:r>
        <w:t>C. THE MARKETS FOR THE TRADING OF ELECTRICAL PRODUCTS</w:t>
      </w:r>
    </w:p>
    <w:p>
      <w:r>
        <w:t>72. At the national level, the combined market share of the parties in the trading of electrical products is estimated at [0-5]%.</w:t>
      </w:r>
    </w:p>
    <w:p>
      <w:r>
        <w:t>73. At the local level, the combined market shares of the parties are systematically below 25% in the examined areas where their activities overlap.</w:t>
      </w:r>
    </w:p>
    <w:p>
      <w:r>
        <w:t>74. Consequently, the operation is not likely to harm competition through horizontal effects in the markets for the trading of electrical products.</w:t>
      </w:r>
    </w:p>
    <w:p>
      <w:r>
        <w:t>D. THE MARKETS FOR THE TRADING OF TILING PRODUCTS</w:t>
      </w:r>
    </w:p>
    <w:p>
      <w:r>
        <w:t>75. At the national level, the combined market share of the parties in the trading of tiling products is estimated at [10-20]%.</w:t>
      </w:r>
    </w:p>
    <w:p>
      <w:r>
        <w:t>76. At the local level, the combined market shares of the parties are systematically below 25% in the examined areas where their activities overlap, with the exception of the areas of Rodez (12) and Perpignan (66).</w:t>
      </w:r>
    </w:p>
    <w:p>
      <w:r>
        <w:rPr>
          <w:b/>
        </w:rPr>
        <w:t>[Pages 13–14]</w:t>
      </w:r>
    </w:p>
    <w:p>
      <w:r>
        <w:t xml:space="preserve">Market share  </w:t>
        <w:br/>
        <w:t xml:space="preserve">Zone Pompac Développement S.I.S.C.A.  </w:t>
        <w:br/>
        <w:t xml:space="preserve">cumulative  </w:t>
        <w:br/>
        <w:t xml:space="preserve">Rodez [10-20] % [10-20] % [20-30] %  </w:t>
        <w:br/>
        <w:t>Perpignan [20-30] % [5-10] % [20-30] %</w:t>
      </w:r>
    </w:p>
    <w:p>
      <w:r>
        <w:t xml:space="preserve">77. In the Rodez area, there are at least four significant competitors: Point P ([10-20] %), Gedimat ([10-20] %), Rouchy ([10-20] %), and Bigmat (5-10 %).  </w:t>
        <w:br/>
        <w:t xml:space="preserve">78. Finally, in the Perpignan area, the new entity will face numerous competitors including Point P ([20-30] %), CCL ([10-20] %), Union-Matériaux ([10-20] %), Porcelanosa ([10-20] %), and Caro et Deco (5-10 %).  </w:t>
        <w:br/>
        <w:t>79. Given the existence of credible alternatives in the Rodez and Perpignan areas and the absence of other affected markets, the operation is not likely to harm competition through horizontal effects in the tile trading markets.</w:t>
      </w:r>
    </w:p>
    <w:p>
      <w:r>
        <w:t xml:space="preserve">DECISION  </w:t>
        <w:br/>
        <w:t xml:space="preserve">Single Article: The operation notified under number 25-162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