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https://www.autoritedelaconcurrence.fr/fr/decision-de-controle-des-concentrations/relative-la-prise-de-controle-exclusif-de-la-societe-slba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22-DCC-42 of March 28, 2022  </w:t>
        <w:br/>
        <w:t>regarding the exclusive control acquisition of the company SLBA by the company SO.FI.A</w:t>
      </w:r>
    </w:p>
    <w:p>
      <w:r>
        <w:t>The Competition Authority,</w:t>
      </w:r>
    </w:p>
    <w:p>
      <w:r>
        <w:t xml:space="preserve">Having regard to the complete notification file sent to the mergers department on March 10, 2022,  </w:t>
        <w:br/>
        <w:t xml:space="preserve">concerning the acquisition of control of the company SLBA by the company SO.FI.A, formalized by a  </w:t>
        <w:br/>
        <w:t xml:space="preserve">transfer protocol dated February 2, 2022;  </w:t>
        <w:br/>
        <w:t xml:space="preserve">Having regard to the other documents in the file;  </w:t>
        <w:br/>
        <w:t xml:space="preserve">Having regard to Book IV of the Commercial Code relating to the freedom of prices and competition, and  </w:t>
        <w:br/>
        <w:t>notably its Articles L. 430-1 to L. 430-7;</w:t>
      </w:r>
    </w:p>
    <w:p>
      <w:r>
        <w:t>Adopts the following decision:</w:t>
      </w:r>
    </w:p>
    <w:p>
      <w:r>
        <w:t xml:space="preserve">1. The notified operation consists of the exclusive control acquisition of the company SLBA, which operates  </w:t>
        <w:br/>
        <w:t xml:space="preserve">automobile dealership businesses under the Volkswagen brand in the Nord department (59), by the company  </w:t>
        <w:br/>
        <w:t xml:space="preserve">SO.FI.A, which itself operates automobile dealership businesses under the Valauto brand in the Hauts-de-France region.  </w:t>
        <w:br/>
        <w:t xml:space="preserve">It constitutes a concentration operation within the meaning of Article L. 430-1 of the Commercial Code.  </w:t>
        <w:br/>
        <w:t xml:space="preserve">Given the turnover achieved by the companies concerned, the operation does not fall under the jurisdiction of the  </w:t>
        <w:br/>
        <w:t xml:space="preserve">European Union. On the other hand, the control thresholds related to retail trade mentioned in II of Article L. 430-2 of  </w:t>
        <w:br/>
        <w:t xml:space="preserve">the Commercial Code are exceeded. This operation is therefore subject to the provisions of Articles L. 430-3 and  </w:t>
        <w:br/>
        <w:t>following of the Commercial Code relating to economic concentration.</w:t>
      </w:r>
    </w:p>
    <w:p>
      <w:r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22-062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