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https://www.autoritedelaconcurrence.fr/fr/decision-de-controle-des-concentrations/relative-la-prise-de-controle-exclusif-de-la-societe-slg</w:t>
      </w:r>
    </w:p>
    <w:p>
      <w:r>
        <w:t>Pages translated : 7</w:t>
      </w:r>
    </w:p>
    <w:p/>
    <w:p>
      <w:r>
        <w:rPr>
          <w:b/>
        </w:rPr>
        <w:t>[Pages 1–3]</w:t>
      </w:r>
    </w:p>
    <w:p>
      <w:r>
        <w:t>FRENCH REPUBLIC</w:t>
        <w:br/>
        <w:t>Decision No. 16-DCC-71 of May 17, 2016</w:t>
        <w:br/>
        <w:t>regarding the exclusive control of SLG Recycling Finance by Derichebourg Environnement</w:t>
        <w:br/>
        <w:t>The Competition Authority,</w:t>
        <w:br/>
        <w:t>Having regard to the notification file submitted in full to the merger service on April 8, 2016,</w:t>
        <w:br/>
        <w:t>regarding the exclusive control of SLG Recycling Finance by Derichebourg Environnement, formalized by a share transfer agreement signed on January 11, 2016;</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concerned companies and the operation</w:t>
        <w:br/>
        <w:t>1. Derichebourg Environnement is a 100% subsidiary of Derichebourg SA, the holding company of the Derichebourg group (hereinafter "Derichebourg"). The Derichebourg group provides services to businesses and local authorities primarily in the environmental sector. Derichebourg is thus active in particular in (i) the collection of waste from businesses and factories as well as from individuals, notably for metal waste; (ii) the recovery of waste, mainly focused on the recovery of ferrous and non-ferrous metals as well as, more marginally, paper, cardboard, and plastics; and (iii) the treatment of electrical, electronic, and household waste (D3E).</w:t>
        <w:br/>
        <w:t>2. SLG Recycling Finance (hereinafter "SLG") is the holding company of the SLG group whose main activities are the collection and recovery of ferrous and non-ferrous metals and the collection and recovery of ordinary waste from industry and craftsmanship. More marginally, SLG is active in the field of industrial demolition, decontamination, and asbestos removal.</w:t>
      </w:r>
    </w:p>
    <w:p>
      <w:r>
        <w:t>3. The operation, formalized by a share acquisition agreement signed on January 11, 2016, involves the acquisition by Derichebourg of the entire share capital of SLG. As it results in the exclusive control of SLG by Derichebourg, the operation constitutes a concentration within the meaning of Article L. 430-1 of the Commercial Code.</w:t>
        <w:br/>
        <w:t>4. The companies concerned together achieve a total worldwide turnover excluding taxes of more than 150 million euros (Derichebourg: 2.35 billion euros for the fiscal year ending September 30, 2015; SLG: [...] euros for the fiscal year ending September 30, 2015). Each of these companies has achieved in France a total turnover excluding taxes exceeding 50 million euros (Derichebourg: 1.83 billion euros for the fiscal year ending September 30, 2015; SLG: [...] euros for the fiscal year ending September 30, 2015).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5. The parties are present in the waste sector which encompasses the activities of collection, transport, treatment, reuse, and disposal of waste. The decisional practice1 considers that the waste management sector includes two stages: collection and treatment, with treatment consisting either of waste disposal or its recovery. Furthermore, the European Commission2 has distinguished within treatment a specific sorting activity. In this case, the parties are simultaneously active in the markets for the collection and recovery of waste.</w:t>
        <w:br/>
        <w:t>6. According to decisional practice, the cleanliness sector comprises as many service markets as there are major types of waste3: hazardous waste or special industrial waste, non-hazardous waste or ordinary waste, and specific waste.</w:t>
        <w:br/>
        <w:t>7. In this case, the parties are simultaneously active in the markets for the collection and recovery of non-hazardous waste.</w:t>
        <w:br/>
        <w:t>1 See in particular the decisions of the Competition Authority 14-DCC-108 of August 4, 2014, regarding the exclusive control of Esterra by Véolia propreté, 12-DCC-04 of January 6, 2012, regarding the exclusive control of Financière Massart by Guy Dauphin Environnement, the minister's letter C2007-168 of January 23, 2008, regarding a concentration in the waste management and treatment sector, the decisions of the European Commission IV/M.916 Lyonnaise des Eaux / Suez and IV/M.1059 Suez Lyonnaise des Eaux / BFI.</w:t>
        <w:br/>
        <w:t>2 See in particular the European Commission COMP/M.5464, Veolia Eau / Société des eaux de Marseille / Société des eaux d’Arles / Société Stéphanoise des eaux.</w:t>
        <w:br/>
        <w:t>3 See in particular the decision of the Competition Authority 14-DCC-108, cited above.</w:t>
      </w:r>
    </w:p>
    <w:p>
      <w:r>
        <w:t>A. MARKETS FOR THE COLLECTION OF NON-HAZARDOUS WASTE</w:t>
        <w:br/>
        <w:t>1. PRODUCT MARKETS</w:t>
        <w:br/>
        <w:t>8. Non-hazardous waste is segmented between household and similar waste ("DMA"), on one hand, and ordinary industrial waste ("DBE")4, on the other. The collection of the latter includes several types of collection: mixed collection, selective collection, and single-material collection (metal scraps, wood, plastics). However, in decision C2007-168, the minister conducted a comprehensive analysis of these different types of collection. Furthermore, within the DBE, the European Commission5 and the minister6 identified a distinct relevant market comprising the collection and treatment of scrap metal, potentially segmented between carbon steel scraps and stainless steel scraps.</w:t>
        <w:br/>
        <w:t>9. In the present case, it is not necessary to decide on these different segmentations, as the conclusions of the competitive analysis remain unchanged regardless of the delineation chosen.</w:t>
        <w:br/>
        <w:t>10. In this case, the parties are simultaneously present in the markets for the collection of ordinary industrial waste and the collection of stainless steel and non-stainless steel scraps.</w:t>
        <w:br/>
        <w:t>2. GEOGRAPHICAL MARKETS</w:t>
        <w:br/>
        <w:t>11. Regarding the geographical delimitation of the market for the collection of non-hazardous waste, European decisional practice7 has considered it to be of national dimension given the tender procedures used by public authorities or waste-producing companies.</w:t>
        <w:br/>
        <w:t>12. However, regarding the market for the collection of DBE, the minister noted that SMEs could be encouraged to choose a provider at the local level8. In this regard, national decisional practice considers that it may have an infranational dimension corresponding to collection areas that include at least one department and the bordering departments9. As the conclusions of the analysis remain unchanged, the question of the geographical delimitation of these markets may, however, remain open.</w:t>
        <w:br/>
        <w:t>13. In this case, the parties are simultaneously present in the departments of Allier (03), Eure-et-Loir (28), Indre-et-Loire (37), Loir-et-Cher (41), Loire-Atlantique (44), and Essonne (91).</w:t>
        <w:br/>
        <w:t>14. Finally, for the segment of scrap metal, the question of its delimitation at the national or local level has been left open by decisional practice. Thus, the national dimension of the markets appears justified when considering the use of tender procedures by local authorities and industries at the national level, but the sites of collection may also be localized.</w:t>
        <w:br/>
        <w:t>4 See in particular the decision of the Competition Authority 14-DCC-108 and the minister's letter C2007-168 of January 23, 2008, cited above.</w:t>
        <w:br/>
        <w:t>5 See the decision of the European Commission M.4495 Alfa Acciai / Cronimet / Remondis / TSR Group of February 6, 2007.</w:t>
        <w:br/>
        <w:t>6 See the minister's letter C2007-168, cited above.</w:t>
        <w:br/>
        <w:t>7 See in this sense the decision of the European Commission IV/M.916, cited above.</w:t>
        <w:br/>
        <w:t>8 See the minister's letter C2007-168, cited above.</w:t>
        <w:br/>
        <w:t>9 See in particular the decision of the Competition Authority No. 13-DCC-44 of April 4, 2013, regarding the creation of a joint venture by SNN and Recycling Invest.</w:t>
      </w:r>
    </w:p>
    <w:p>
      <w:r>
        <w:rPr>
          <w:b/>
        </w:rPr>
        <w:t>[Pages 4–6]</w:t>
      </w:r>
    </w:p>
    <w:p>
      <w:r>
        <w:t>collection cover more limited geographical radii, around 100 to 150 km around the sites according to the notifying party. The European Commission has indicated, while leaving the question open, that the geographical market could be delineated by zones with a radius of 200 km. In the present case, it is not necessary to decide on these different segmentations, as the conclusions of the competitive analysis remain unchanged regardless of the delineation chosen.</w:t>
      </w:r>
    </w:p>
    <w:p>
      <w:r>
        <w:t>15. In this case, the parties are simultaneously present in the departments of Indre-et-Loire (37) and Loire-Atlantique (44) for the market of collecting scrap metal excluding stainless steel, and in Indre-et-Loire (37), Loir-et-Cher (41), Loiret (45), and Morbihan (56) for the market of collecting stainless steel scraps.</w:t>
      </w:r>
    </w:p>
    <w:p>
      <w:r>
        <w:t>B. MARKETS FOR WASTE RECOVERY</w:t>
        <w:br/>
        <w:t>16. In contrast to disposal, recovery involves the treatment of waste with the aim of reselling it to industries consuming recycled waste (material recovery) or producing energy (energy recovery). For the purposes of the analysis, the term "recovery" only covers material recovery.</w:t>
      </w:r>
    </w:p>
    <w:p>
      <w:r>
        <w:t>1. SERVICE MARKETS</w:t>
        <w:br/>
        <w:t>17. The minister, in decision C2007-168, segmented waste recovery into as many markets as there are types of materials to be recovered: scrap metal, glass, paper-cardboard, plastics, wood. He thus distinguished for his analysis a market for the recovery of metal waste, a market for the recovery of wood waste, and a market for the recovery of paper and cardboard. Regarding paper and cardboard waste, the minister retained a global market for the recovery of paper and cardboard. Similarly, he retained a global market for the recovery of wood waste. The Authority also identified a market for the recovery of plastics12.</w:t>
      </w:r>
    </w:p>
    <w:p>
      <w:r>
        <w:t>18. Concerning metal waste, this category includes ferrous metals, non-ferrous metals, and metal from the deconstruction of End-of-Life Vehicles ("ELV"). The recyclable materials mainly come from new scraps resulting from steel processing and recovered scrap metal. However, the minister considered for his analysis a global market for metal waste as there appears to be a strong substitutability between these different types of scrap, both from the demand side and the supply side, with providers recovering the different types of scrap indiscriminately, regardless of their origin. For the purposes of their notification, the parties chose to retain the finest segmentation by types of metal waste.</w:t>
      </w:r>
    </w:p>
    <w:p>
      <w:r>
        <w:t>19. In the present case, it is not necessary to decide on these different segmentations, as the conclusions of the competitive analysis remain unchanged regardless of the delineation chosen.</w:t>
      </w:r>
    </w:p>
    <w:p>
      <w:r>
        <w:t>10. See in particular the decision of the Competition Authority No. 12-DCC-17 of February 6, 2012, regarding the acquisition of Recylux Group SA and certain real estate assets by Ecore BV.</w:t>
        <w:br/>
        <w:t>11. See the decision of the European Commission M.4495, cited above.</w:t>
        <w:br/>
        <w:t>12. See the decision of the Competition Authority No. 13-DCC-44, cited above.</w:t>
      </w:r>
    </w:p>
    <w:p>
      <w:r>
        <w:t>2. GEOGRAPHICAL MARKETS</w:t>
        <w:br/>
        <w:t>20. The decision-making practice considers that the market for waste recovery has a national dimension13. Indeed, certain materials may have a sufficiently high economic value to justify that transportation costs, even significant, remain negligible in relation to the recovery they undergo. Furthermore, recycling facilities do not always offer as extensive local coverage as treatment facilities. Finally, it appears that in these markets, operators of national size are active throughout the territory. Both from the supply side and the demand side, the competitive conditions can therefore be considered homogeneous in France.</w:t>
      </w:r>
    </w:p>
    <w:p>
      <w:r>
        <w:t>III. Competitive Analysis</w:t>
        <w:br/>
        <w:t>21. The present operation is likely to have horizontal effects on the structure of competition as well as vertical effects.</w:t>
      </w:r>
    </w:p>
    <w:p>
      <w:r>
        <w:t>A. HORIZONTAL EFFECTS</w:t>
        <w:br/>
        <w:t>22. The parties are simultaneously active in the markets for the collection and recovery of DBE.</w:t>
      </w:r>
    </w:p>
    <w:p>
      <w:r>
        <w:t>1. THE MARKET FOR THE COLLECTION OF DBE</w:t>
        <w:br/>
        <w:t>23. In the national market for the collection of DBE, the new entity will hold an estimated market share of [0-5]%14. In the case of an analysis conducted within a radius of 200 km around the […] sites of SLG collecting DBE, the market shares of the new entity will be below [0-5]%15. Finally, in the six departments where the parties are simultaneously active, the market share of the new entity will consistently be below [10-20]%16.</w:t>
      </w:r>
    </w:p>
    <w:p>
      <w:r>
        <w:t>24. The operation is therefore not likely to lead to anti-competitive effects in the market for the collection of DBE.</w:t>
      </w:r>
    </w:p>
    <w:p>
      <w:r>
        <w:t>2. THE MARKET FOR THE COLLECTION OF SCRAP METAL</w:t>
        <w:br/>
        <w:t>25. In the national market for the collection of scrap metal, the parties have respective market shares of [10-20]% for Derichebourg and [0-5]% for SLG17.</w:t>
      </w:r>
    </w:p>
    <w:p>
      <w:r>
        <w:t>13. See in particular the decision of the Competition Authority 14-DCC-108, cited above.</w:t>
        <w:br/>
        <w:t>14. In a market estimated by the parties at […] million tons, Derichebourg collects […] tons and SLG […] tons.</w:t>
        <w:br/>
        <w:t>15. The market shares of the new entity will range between [0-5]% (Plumaudant site) and [0-5]% (Saint-Germain-Du-Puy site).</w:t>
        <w:br/>
        <w:t>16. The market shares of the new entity will range between [0-5]% (Loire-Atlantique) and [10-20]% (Loir-et-Cher).</w:t>
        <w:br/>
        <w:t>17. In a market estimated by the parties at […] million tons, Derichebourg collects […] tons and SLG […] tons.</w:t>
      </w:r>
    </w:p>
    <w:p>
      <w:r>
        <w:t>On the segment of stainless steel scraps, the parties estimate the market share of the new entity at [10-20]% (Derichebourg: [10-20]% and SLG: [0-5]%).</w:t>
      </w:r>
    </w:p>
    <w:p>
      <w:r>
        <w:t>26. In the context of an analysis conducted within a radius of 200 km around the target group's sites, the market shares of the new entity will be below 25% in all areas except for the sites of Saint-Germain-du-Puy and Nazelles-Negron18.</w:t>
      </w:r>
    </w:p>
    <w:p>
      <w:r>
        <w:t>27. In the area of 200 km around the Saint-Germain-du-Puy site, the parties estimate the volume of scrap metal excluding stainless steel at […] tons and that of stainless steel scraps at […] tons. In this local market, the parties have collected […] tons of non-stainless scraps (Derichebourg: […] and SLG: […]) and […] tons of stainless scraps (Derichebourg: […]; SLG: […]), which corresponds to a cumulative market share of [20-30]% for non-stainless and [30-40]% for stainless.</w:t>
      </w:r>
    </w:p>
    <w:p>
      <w:r>
        <w:t>28. In the area of 200 km around the Nazelles-Negron site, the parties estimate the volume of stainless scraps at […] tons. In this local market, the parties have collected […] tons of stainless scraps (Derichebourg: […] and SLG: […]), which corresponds to a cumulative market share of [20-30]%.</w:t>
      </w:r>
    </w:p>
    <w:p>
      <w:r>
        <w:t>29. The new entity will face a multitude of competing operators in these areas. The main national operators in the sector such as Véolia, Paprec, Guy Dauphin Environnement, or Barbat recyclage will be present, holding market shares in the identified local markets ranging from [5-10]% to [30-40]%.</w:t>
      </w:r>
    </w:p>
    <w:p>
      <w:r>
        <w:t>30. At the departmental level, only the department of Indre-et-Loire is affected, with the market share of the new entity rising to [40-50]% for the collection of scrap metal. However, the increment resulting from the operation is limited since, in this department, the parties indicate that Derichebourg has only collected a marginal volume of scrap metal corresponding to less than [0-5]% of market share. Furthermore, the new entity will still face competition from numerous operators present in the department such as Menut Recyclage and Passenaud Recyclage or in neighboring departments19.</w:t>
      </w:r>
    </w:p>
    <w:p>
      <w:r>
        <w:t>31. Therefore, in light of these various elements, the operation is not likely to lead to horizontal effects in the market for the collection of scrap metal.</w:t>
      </w:r>
    </w:p>
    <w:p>
      <w:r>
        <w:t>3. THE MARKET FOR THE RECOVERY OF DBE</w:t>
        <w:br/>
        <w:t>32. In the segment of metal waste recovery20, the parties have a cumulative market share of [20-30]% (Derichebourg: [20-30]%: SLG: [0-5]%). In the three sub-segmentations of ferrous metals, non-ferrous metals, and ELV, the data provided by the parties indicate that the market share of the new entity will remain below 25%.</w:t>
      </w:r>
    </w:p>
    <w:p>
      <w:r>
        <w:t>33. In the other segments of the recovery of paper and cardboard waste, wood waste, and plastic waste, the market share of the new entity will remain below [0-5]%21.</w:t>
      </w:r>
    </w:p>
    <w:p>
      <w:r>
        <w:t>18. In addition to these sites, SLG has 10 other active sites in the collection of scrap metal excluding stainless steel and 8 other active sites in the collection of stainless steel scraps.</w:t>
        <w:br/>
        <w:t>19. In the 5 neighboring departments, the parties identified 7 competitor sites.</w:t>
        <w:br/>
        <w:t>20. In 2014, the parties achieved a turnover of […] euros for Derichebourg and […] euros for SLG, for a total market estimated by the parties at […] euros.</w:t>
        <w:br/>
        <w:t>21. In 2014, the cumulative market shares of the parties in these different segments were respectively [0-5]% (paper and cardboard), [0-5]% (wood), and [0-5]% (plastics).</w:t>
      </w:r>
    </w:p>
    <w:p>
      <w:r>
        <w:rPr>
          <w:b/>
        </w:rPr>
        <w:t>[Pages 7–7]</w:t>
      </w:r>
    </w:p>
    <w:p>
      <w:r>
        <w:t>34. Consequently, in light of these various elements, the transaction is not likely to harm competition in the market for the recovery of DBE.</w:t>
        <w:br/>
        <w:t>B. VERTICAL AND CONGLOMERATE EFFECTS</w:t>
        <w:br/>
        <w:t>35. A vertical concentration can restrict competition by making access to the markets in which the new entity will operate more difficult, or even by excluding competitors or penalizing them through increased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thereby reducing their commercial outlets. The Competition Authority considers it unlikely that a company with a market share of less than 30% in a given market can lock in a downstream or upstream market.</w:t>
        <w:br/>
        <w:t>36. In this case, the position of the new entity will remain below 30% in the markets concerned by the transaction, except for the local markets of Saint-Germain-du-Puy and the department of Indre-et-Loire, where it will be between [30-40]% and [40-50]%. Derichebourg was already present in all of these markets, so its incentives to implement a lock-in strategy will not be significantly strengthened as a result of the transaction.</w:t>
        <w:br/>
        <w:t>37. Consequently, in light of these various elements, the transaction is therefore not likely to have vertical effects on the markets concerned.</w:t>
        <w:br/>
        <w:t>DECIDES</w:t>
        <w:br/>
        <w:t>Sole Article: The transaction notified under number 15-213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