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https://www.autoritedelaconcurrence.fr/fr/decision-de-controle-des-concentrations/relative-la-prise-de-controle-exclusif-de-la-societe-smda</w:t>
      </w:r>
    </w:p>
    <w:p>
      <w:r>
        <w:t>Pages translated : 2</w:t>
      </w:r>
    </w:p>
    <w:p/>
    <w:p>
      <w:r>
        <w:rPr>
          <w:b/>
        </w:rPr>
        <w:t>[Pages 1–2]</w:t>
      </w:r>
    </w:p>
    <w:p>
      <w:r>
        <w:t xml:space="preserve">FRENCH REPUBLIC  </w:t>
        <w:br/>
        <w:t xml:space="preserve">Decision No. 18-DCC-116 of July 27, 2018  </w:t>
        <w:br/>
        <w:t xml:space="preserve">regarding the exclusive control acquisition of the company SMDA by the  </w:t>
        <w:br/>
        <w:t xml:space="preserve">company ASMI  </w:t>
        <w:br/>
        <w:t xml:space="preserve">The Competition Authority,  </w:t>
        <w:br/>
        <w:t xml:space="preserve">Having regard to the complete notification file submitted to the mergers department on July 6, 2018,  </w:t>
        <w:br/>
        <w:t xml:space="preserve">concerning the exclusive control acquisition of the company SMDA by the company ASMI, formalized by  </w:t>
        <w:br/>
        <w:t xml:space="preserve">a share transfer agreement dated June 8,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ASMI of exclusive control of  </w:t>
        <w:br/>
        <w:t xml:space="preserve">SMDA, which operates a business of distribution and repair of motor vehicles under the brands Skoda, Mazda, and Suzuki located in the city of Vert-Saint-Denis in Seine-et-Marne (77).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18-143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