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https://www.autoritedelaconcurrence.fr/fr/decision-de-controle-des-concentrations/relative-la-prise-de-controle-exclusif-de-la-societe-snacks</w:t>
      </w:r>
    </w:p>
    <w:p>
      <w:r>
        <w:t>Pages translated : 2</w:t>
      </w:r>
    </w:p>
    <w:p/>
    <w:p>
      <w:r>
        <w:rPr>
          <w:b/>
        </w:rPr>
        <w:t>[Pages 1–2]</w:t>
      </w:r>
    </w:p>
    <w:p>
      <w:r>
        <w:t xml:space="preserve">FRENCH REPUBLIC  </w:t>
        <w:br/>
        <w:t xml:space="preserve">Decision No. 13-DCC-176 of December 6, 2013  </w:t>
        <w:br/>
        <w:t xml:space="preserve">regarding the exclusive control acquisition of the company Snacks International Developpement by Apax Partners Midmarket  </w:t>
        <w:br/>
        <w:t xml:space="preserve">The Competition Authority,  </w:t>
        <w:br/>
        <w:t xml:space="preserve">Having regard to the complete notification file submitted to the mergers department on November 19, 2013, concerning the exclusive control acquisition of the company Snacks International Developpement by the investment fund Apax Partners Midmarket, formalized by a firm acquisition offer dated November 8,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Snacks International Developpement, active in the manufacture of snack biscuits for large distribution operators, by the investment fund Apax Partners Midmarket. It constitutes a concentration operation within the meaning of Article L. 430-1 of the Commercial Code. Given the turnover achieved by the companies concerned,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13-203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