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https://www.autoritedelaconcurrence.fr/fr/decision-de-controle-des-concentrations/relative-la-prise-de-controle-exclusif-de-la-societe-snc</w:t>
      </w:r>
    </w:p>
    <w:p>
      <w:r>
        <w:t>Pages translated : 8</w:t>
      </w:r>
    </w:p>
    <w:p/>
    <w:p>
      <w:r>
        <w:rPr>
          <w:b/>
        </w:rPr>
        <w:t>[Pages 1–3]</w:t>
      </w:r>
    </w:p>
    <w:p>
      <w:r>
        <w:t xml:space="preserve">FRENCH REPUBLIC  </w:t>
        <w:br/>
        <w:t xml:space="preserve">Decision No. 12-DCC-112 of August 3, 2012  </w:t>
        <w:br/>
        <w:t xml:space="preserve">regarding the exclusive control of the company SNC Schlecker by  </w:t>
        <w:br/>
        <w:t xml:space="preserve">the company Système U Centrale Régionale Sud  </w:t>
        <w:br/>
        <w:t xml:space="preserve">The Competition Authority,  </w:t>
        <w:br/>
        <w:t xml:space="preserve">Having regard to the notification file submitted in full to the merger service on July 3, 2012,  </w:t>
        <w:br/>
        <w:t xml:space="preserve">regarding the acquisition by the company Système U Centrale Régionale Sud (hereinafter "Système U CRS") of the company SNC Schlecker (hereinafter "Schlecker"), formalized by a transfer contract dated May 30,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Système U CRS is a cooperative public limited company of retail merchants. It is one of the four regional cooperatives of the Système U cooperative group. The partners of Système U CRS are the companies that operate stores under the Hyper U, Super U, Marché U, Utile, and U Express brands located in the south of France, the area of activity of Système U CRS. Système U CRS also holds, directly and indirectly, through the company Expan U Sud, numerous majority stakes in other companies. The Système U cooperative group includes independent merchants, each owning their store, who operate stores under the Hyper U (62 stores), Super U (746 stores), Marché U (67 stores), U Express (186 stores), and Utile (362 stores) brands (hereinafter "the Système U group" or "Système U").  </w:t>
        <w:br/>
        <w:t>2. Schlecker is a general partnership currently controlled by the company AS Drogerie Markt. Schlecker operates 139 stores under the Schlecker brand in France, primarily selling drugstore items. One of these stores will be closed before the end of October 2012.</w:t>
      </w:r>
    </w:p>
    <w:p>
      <w:r>
        <w:t xml:space="preserve">3. The notified operation consists of the acquisition by Système U CRS of the entire capital of Schlecker from the company AS Drogerie Markt. The notifying party emphasizes that this operation is temporary, with Système U CRS planning to sell all or part of the Schlecker stores to one or more independent buyers who will join the Système U cooperative group.  </w:t>
        <w:br/>
        <w:t xml:space="preserve">4. The notified operation therefore results in the exclusive control by Système U CRS of Schlecker and constitutes a concentration within the meaning of Article L. 430-1 of the Commercial Code.  </w:t>
        <w:br/>
        <w:t xml:space="preserve">5. The companies concerned operate one or more retail stores and together achieve a total worldwide turnover of more than 75 million euros (Système U CRS: 1.9 billion euros for the fiscal year ending December 31, 2011; Schlecker: 72.6 million euros for the same fiscal year). Each achieves, in France, in the retail sector, a turnover exceeding 15 million euros (the turnover figures mentioned above are entirely realized in France). Given these turnover figures, the operation does not have a European dimension. However, the control thresholds mentioned in II of Article L. 430-2 of the Commercial Code relating to retail trade are exceeded. This operation is therefore subject to the provisions of Articles L. 430-3 and following of the Commercial Code relating to economic concentration.  </w:t>
        <w:br/>
        <w:t xml:space="preserve">II. Delimitation of the relevant markets  </w:t>
        <w:br/>
        <w:t xml:space="preserve">6. According to the consistent practice of national and community competition authorities, two categories of markets can be delineated in the food-dominant distribution sector. These are, on the one hand, "downstream" markets, of a local dimension, which bring together retail companies and consumers for the sale of consumer goods, and, on the other hand, "upstream" markets for supplying retail companies with everyday consumer goods, of a national dimension.  </w:t>
        <w:br/>
        <w:t xml:space="preserve">A. DOWNSTREAM MARKETS OF DISTRIBUTION  </w:t>
        <w:br/>
        <w:t xml:space="preserve">1. SERVICE MARKETS  </w:t>
        <w:br/>
        <w:t xml:space="preserve">Differentiation of retail businesses based on the types of products sold  </w:t>
        <w:br/>
        <w:t xml:space="preserve">7. The type of products sold is one of the most important criteria for delineating markets in the retail sector. Decision-making practice has generally noted that when more than one-third of a store's turnover comes from food products, the business is deemed to be food-dominant.  </w:t>
        <w:br/>
        <w:t xml:space="preserve">8. According to the notifying party, however, a store is predominantly food-based if more than half of its turnover comes from the sale of food products. The notifying party specifies, in this regard, that this threshold may vary depending on the retail format concerned. Thus, the larger the store's area, the greater the proportion of non-food products sold, but it remains in all cases well above 50%. As an example, the notifying party provided the percentage of turnover achieved in food by the different brands of the group: Marché U / U Express (average sales area of 880 m²): [...] %; Super U (average sales area of 2,650 m²): [...] %; Hyper U (average sales area of 5,000 m²): [...] %.  </w:t>
        <w:br/>
        <w:t xml:space="preserve">9. The notifying party argues in any case that, regardless of the threshold retained to define a food-dominant store, Schlecker stores do not fall into this category. Indeed, Schlecker stores are drugstores, primarily selling non-food products. On average, 32% of the turnover of Schlecker stores comes from the sale of food products. Furthermore, these stores do not sell fresh products (fruits, vegetables, meat). The NAF code of Schlecker is not that of retail stores in non-specialized shops with a predominance of food (47.11) but that of "other retail trade (47.52A).  </w:t>
        <w:br/>
        <w:t xml:space="preserve">10. Several competitors of Système U, questioned during the investigation, confirmed that, for them, Schlecker stores are not in competition with their stores.  </w:t>
        <w:br/>
        <w:t xml:space="preserve">11. It follows from these elements that Schlecker stores do not fall into the category of food-dominant stores, and consequently, they are not competitors of the stores belonging to the large national food distribution brands of which Système U is a part, and thus the notified operation does not lead to any overlap of activity between the parties.  </w:t>
        <w:br/>
        <w:t xml:space="preserve">12. Nevertheless, the notifying party specifies that following the notified operation, the Schlecker stores acquired by Système U will significantly redirect their activity towards a classic retail activity predominantly focused on food. Therefore, despite the absence of overlap in activity between the parties, a classic analysis of the effects of the operation on the relevant markets will be conducted, combining the sales areas of the Schlecker stores with those of the U stores to determine whether the strengthening of Système U's position would be likely to harm competition in the relevant markets.  </w:t>
        <w:br/>
        <w:t xml:space="preserve">Criteria for differentiating food-dominant businesses  </w:t>
        <w:br/>
        <w:t>13. Competition authorities, both community and national, have distinguished six categories of food-dominant businesses using several criteria, including store size, sales techniques, accessibility, the nature of the service provided, and the range of products offered: (i) hypermarkets, (ii) supermarkets, (iii) specialized trade, (iv) small retail trade, (v) discount stores, (vi) mail order sales.</w:t>
      </w:r>
    </w:p>
    <w:p>
      <w:r>
        <w:rPr>
          <w:b/>
        </w:rPr>
        <w:t>[Pages 4–6]</w:t>
      </w:r>
    </w:p>
    <w:p>
      <w:r>
        <w:t>14. Hypermarkets are usually defined as food-dominant stores with a legal sales area equal to or greater than 2,500 m². Supermarkets, on the other hand, are usually considered as food-dominant stores with a legal sales area of less than 2,500 m² and greater than 400 m². Small retail businesses include mini-markets (with an area of less than 400 m² and greater than 120 m²). Decision-making practice has repeatedly emphasized that these thresholds should be used with caution and may be adapted to the specific case, considering that stores with an area near the threshold, either above or below, may, in fact, be in direct competition.</w:t>
      </w:r>
    </w:p>
    <w:p>
      <w:r>
        <w:t>15. In the specific case, the notified operation concerns the acquisition of 137 stores with an area of less than 400 m² and 2 stores with an area greater than 400 m². Thus, it is almost entirely about convenience stores aimed at serving some residential areas in urban zones.</w:t>
      </w:r>
    </w:p>
    <w:p>
      <w:r>
        <w:t>16. Regarding convenience stores that are food-dominant, decision-making practice has specified that it is necessary to analyze the conditions under which the market actually operates, notably the fact that, in a number of geographical configurations, a hypermarket, a supermarket, or a discount store may be habitually used by certain consumers as a convenience store, substituting for a mini-market, while specifying that the reverse is not true. On the other hand, it has noted that small self-service stores (with an area of less than 120 m²) offer a range and price level that make them poorly positioned to sustainably compete with mini-markets and, a fortiori, with supermarkets or hypermarkets. In the specific case, the parties argue that small self-service stores with an area of less than 120 m², which are part of a national network, fall within the same convenience market. They specify in this regard that a number of Schlecker stores are below the 120 m² threshold and that the same applies to certain stores belonging to competing groups such as those under the Spar or Huit à 8 brands. It is not necessary in this specific case to resolve this question, as the conclusions of the competitive analysis will remain unchanged, regardless of the delimitation adopted.</w:t>
      </w:r>
    </w:p>
    <w:p>
      <w:r>
        <w:t>17. Decision-making practice has also noted that specialized businesses (bakeries, butcher shops, fishmongers, cheese dairies, greengrocers, wine shops, frozen food stores, etc.), markets, or online food sales do not exert significant competitive pressure on mini-markets.</w:t>
      </w:r>
    </w:p>
    <w:p>
      <w:r>
        <w:t>18. Consequently, the competitive analysis will be conducted on a market including all formats (hypermarkets, supermarkets, hard discounters, mini-markets), excluding small self-service stores (less than 120 m²) not belonging to a national network, specialized stores, markets, and online food sales.</w:t>
      </w:r>
    </w:p>
    <w:p>
      <w:r>
        <w:t>2. GEOGRAPHICAL DELIMITATION</w:t>
      </w:r>
    </w:p>
    <w:p>
      <w:r>
        <w:t>19. In recent decisions regarding the acquisition of hypermarkets or supermarkets, decision-making practice has recalled that depending on the size of the stores concerned, the conditions of competition should be assessed in two different areas according to the size of the stores:</w:t>
        <w:br/>
        <w:t>- a first area where consumer demand meets the supply of hypermarkets that they can access within 30 minutes of driving and which are, from their perspective, substitutable for each other; and</w:t>
        <w:br/>
        <w:t>- a second area where consumer demand meets the supply of supermarkets and other equivalent forms of commerce located within 15 minutes of driving time. These latter forms of commerce may include, in addition to supermarkets, hypermarkets located near consumers and discount stores.</w:t>
      </w:r>
    </w:p>
    <w:p>
      <w:r>
        <w:t>20. Furthermore, decision-making practice has recalled that other criteria may be taken into account to evaluate the impact of a concentration on the competitive situation in retail distribution markets, which may lead to refining the usual delimitations presented above, such as the socio-economic characteristics of the area concerned (population density, economic activity, geography, state of the road network) or the density and quality of commercial equipment in an area.</w:t>
      </w:r>
    </w:p>
    <w:p>
      <w:r>
        <w:t>21. Decision-making practice has considered, on the other hand, that the use of a catchment area of 15 minutes of driving time, traditionally used for supermarkets, appears to be of little relevance regarding convenience stores. It has thus noted that "the general food convenience trade is characterized by a clientele composed mainly of people living within 500 meters of the point of sale, walking to the place of sale and making small purchases," while emphasizing that the delimitation of these catchment areas must take into account local specificities affecting the accessibility of stores. Thus, in the aforementioned opinion no. 12-A-01, the Competition Authority considered that general food convenience stores located in Paris "have a catchment area that varies between 300 and 500 meters. This radius may be less than 300 meters for the smallest stores, or conversely reach 700 or even 1,000 meters for the largest stores," which corresponds to a walking time of 5 to 15 minutes. The Competition Authority also considered that hypermarkets located on the outskirts of Paris were likely to exert competitive pressure on supermarkets and mini-markets located in Paris, as these stores can serve as convenience stores for residents of the area concerned as long as they are easily accessible. The Competition Authority retained for hypermarkets located on the outskirts of Paris a catchment area with a radius of 2 kilometers, corresponding to a 15-minute drive.</w:t>
      </w:r>
    </w:p>
    <w:p>
      <w:r>
        <w:t>22. In the specific case, the stores operated by the target are all located in urban areas, generally in the city center, or even in pedestrian zones. In accordance with previous decision-making practice, the notifying party considers that walking is the preferred mode of transport for consumers regarding stores with an area of less than 400 m², and is, therefore, more relevant than driving for calculating the catchment area of these stores. The notifying party has thus retained a catchment area corresponding to a 10-minute walk (or 4 minutes by car), or a maximum radius of 650 meters, around stores with an area of less than 400 m². For the supermarkets operated by the target, the notifying party has also retained a catchment area of 15 minutes of driving time.</w:t>
      </w:r>
    </w:p>
    <w:p>
      <w:r>
        <w:t>B. UPSTREAM SUPPLY MARKETS</w:t>
      </w:r>
    </w:p>
    <w:p>
      <w:r>
        <w:t>23. Regarding supply markets, the European Commission has recognized the existence of markets of national dimension by major product groups, a delimitation followed by national authorities.</w:t>
      </w:r>
    </w:p>
    <w:p>
      <w:r>
        <w:t>24. There is no need to challenge this delimitation in the context of the present operation.</w:t>
      </w:r>
    </w:p>
    <w:p>
      <w:r>
        <w:t>III. Competitive Analysis</w:t>
      </w:r>
    </w:p>
    <w:p>
      <w:r>
        <w:t>25. As a preliminary point, the parties argue that U stores are independent in their commercial policy from the Système U cooperative group and that, consequently, the market share of these stores should not be taken into account to assess the market power of the group. However, as previously recalled by decision-making practice, "the market power of a distribution group must be assessed taking into account the stores operated under franchise, regardless of their legal status, as long as their commercial policy is not sufficiently autonomous from the franchisor." Based on the information provided by the notifying party, it seems that the commercial policy of the stores operated under the brands Marché U, U Express, Super U, and Hyper U is significantly constrained. However, in this case, the conclusions of the analysis will remain unchanged, whether or not these stores are taken into account, and it is therefore not necessary to rule on their autonomy in the context of the present operation.</w:t>
      </w:r>
    </w:p>
    <w:p>
      <w:r>
        <w:rPr>
          <w:b/>
        </w:rPr>
        <w:t>[Pages 7–8]</w:t>
      </w:r>
    </w:p>
    <w:p>
      <w:r>
        <w:t xml:space="preserve">A. DOWNSTREAM MARKETS OF DISTRIBUTION  </w:t>
        <w:br/>
        <w:t xml:space="preserve">26. As indicated in the section regarding the definition of relevant markets, the activities of the parties do not overlap, as the Schlecker stores are not food-dominant businesses. On the other hand, Système U plans, following the notified operation, to transform the Schlecker stores into food-dominant stores under one of the brands of the Système U group. Given these elements, it is necessary to assess whether, following the notified operation, the strengthening of Système U's position resulting from the acquisition of additional retail space in the southeast of France is likely to harm competition in the relevant markets.  </w:t>
        <w:br/>
        <w:t xml:space="preserve">27. Based on the information provided by the notifying party, Système U will not hold, following the notified operation and after the transformation of the target stores, more than 50% of the food-dominant retail space in only 8 of the 139 analyzed markets, defined as the catchment areas corresponding to a 10-minute walking distance around the target stores. However, the operation does not lead to the disappearance of a competing brand that would result in a relaxation of the competitive pressure that had previously been exerted on Système U stores and could encourage them to raise their prices or degrade the conditions of their offering. The operation also does not result in the possibility for the acquirer to have full control over the conditions of an offering that it previously only partially controlled, as could be the case if the acquisition concerned stores bearing one of the brands of the Système U group but operated by independent retailers or over which the network head only exercises joint control. As a result, the operation cannot have negative effects on the conditions of competition in the relevant areas. On the contrary, the creation of additional food retail space will benefit consumers who will have, following the notified operation, additional proximity food offerings.  </w:t>
        <w:br/>
        <w:t xml:space="preserve">28. In any case, there are indeed supermarkets or hypermarkets in close proximity to each of the eight relevant areas that will continue to exert significant competitive pressure on Système U following the notified operation.  </w:t>
        <w:br/>
        <w:t xml:space="preserve">29. Considering all these elements, the notified operation is not likely to harm competition in the retail markets for food products.  </w:t>
        <w:br/>
        <w:t xml:space="preserve">B. UPSTREAM MARKET OF SUPPLY  </w:t>
        <w:br/>
        <w:t xml:space="preserve">30. SNC Schlecker is affiliated with the purchasing center EurAuchan. This affiliation contract will end on the day the notified operation is completed. The 139 Schlecker stores represented a total purchase amount from EurAuchan of […] euros in 2011, which corresponds to a market share of less than 1%. The operation is therefore not likely to significantly strengthen Système U's purchasing power.  </w:t>
        <w:br/>
        <w:t xml:space="preserve">31. Consequently, the notified operation is not likely to harm competition in the upstream supply markets.  </w:t>
        <w:br/>
        <w:t xml:space="preserve">DECIDES  </w:t>
        <w:br/>
        <w:t xml:space="preserve">Single Article: The notified operation under number 12-099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