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https://www.autoritedelaconcurrence.fr/fr/decision-de-controle-des-concentrations/relative-la-prise-de-controle-exclusif-de-la-societe-soca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18-DCC-231 of December 27, 2018  </w:t>
        <w:br/>
        <w:t xml:space="preserve">regarding the exclusive control acquisition of the company Soca by the company  </w:t>
        <w:br/>
        <w:t xml:space="preserve">Gemy Distribution Automobiles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28, 2018, concerning the exclusive control acquisition of the company Soca by the company  </w:t>
        <w:br/>
        <w:t xml:space="preserve">Gemy Distribution Automobile, and formalized by a share transfer and acquisition contract  </w:t>
        <w:br/>
        <w:t xml:space="preserve">signed on November 26,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Gemy Distribution  </w:t>
        <w:br/>
        <w:t xml:space="preserve">of the company Soca, which operates a Citroën car dealership in the  </w:t>
        <w:br/>
        <w:t xml:space="preserve">department of Var (83). It constitutes a concentration operation within the meaning of Article  </w:t>
        <w:br/>
        <w:t xml:space="preserve">L. 430-1 of the Commercial Code. Given the turnover generated by the companies  </w:t>
        <w:br/>
        <w:t xml:space="preserve">concerned, the operation does not fall under the jurisdiction of the European Union. On the other hand,  </w:t>
        <w:br/>
        <w:t xml:space="preserve">the retail control thresholds mentioned in point II of Article L. 430-2 of the Commercial Code are exceeded.  </w:t>
        <w:br/>
        <w:t xml:space="preserve">This 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18-275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