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https://www.autoritedelaconcurrence.fr/fr/decision-de-controle-des-concentrations/relative-la-prise-de-controle-exclusif-de-la-societe-socar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16-DCC-44 of March 10, 2016  </w:t>
        <w:br/>
        <w:t xml:space="preserve">regarding the exclusive control acquisition of the company Socar by the company  </w:t>
        <w:br/>
        <w:t xml:space="preserve">Groupe Cassard  </w:t>
        <w:br/>
        <w:t xml:space="preserve">The Competition Authority,  </w:t>
        <w:br/>
        <w:t xml:space="preserve">Having regard to the notification file sent to the mergers department on January 27, 2016, and  </w:t>
        <w:br/>
        <w:t xml:space="preserve">declared complete on February 29, 2016, concerning the exclusive control acquisition of the company Socar  </w:t>
        <w:br/>
        <w:t xml:space="preserve">by the company Groupe Cassard, and formalized by the transfer protocol dated January 23,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Socar, which operates  </w:t>
        <w:br/>
        <w:t xml:space="preserve">several Volkswagen car dealerships in the Haut-Rhin department (68), by Groupe Cassard, which is itself active in the distribution of motor vehicles. This operation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On the other hand, the control thresholds  </w:t>
        <w:br/>
        <w:t xml:space="preserve">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16-020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