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https://www.autoritedelaconcurrence.fr/fr/decision-de-controle-des-concentrations/relative-la-prise-de-controle-exclusif-de-la-societe-socohy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23-DCC-200 of October 5, 2023</w:t>
        <w:br/>
        <w:t>regarding the exclusive control acquisition of the company Socohy by the</w:t>
        <w:br/>
        <w:t>Axiome group</w:t>
        <w:br/>
        <w:t>The Competition Authority,</w:t>
        <w:br/>
        <w:t>Having regard to the complete notification file sent to the mergers department on September 19,</w:t>
        <w:br/>
        <w:t>2023, concerning the exclusive control acquisition of the company Socohy by the company Axiome,</w:t>
        <w:br/>
        <w:t>formalized by a letter of intent dated July 10,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company Axiome of the company</w:t>
        <w:br/>
        <w:t>Socohy, which operates car dealerships located in Coignières (78), Montigny-Le-</w:t>
        <w:br/>
        <w:t>Bretonneux (78), and Viroflay (78). The operation constitutes a concentration operation within the meaning</w:t>
        <w:br/>
        <w:t>of Article L. 430-1 of the Commercial Code. Given the turnover generated by the</w:t>
        <w:br/>
        <w:t>concerned companies, the operation does not fall under the jurisdiction of the European Union. However, the</w:t>
        <w:br/>
        <w:t>control thresholds related to retail trade mentioned in II of Article</w:t>
        <w:br/>
        <w:t>L. 430-2 of the Commercial Code are exceeded. This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23-228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