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https://www.autoritedelaconcurrence.fr/fr/decision-de-controle-des-concentrations/relative-la-prise-de-controle-exclusif-de-la-societe-sodak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23-DCC-236 of December 8, 2023</w:t>
        <w:br/>
        <w:t>regarding the exclusive control acquisition of the company Sodak by the company</w:t>
        <w:br/>
        <w:t>Socipar</w:t>
        <w:br/>
        <w:t>The Competition Authority,</w:t>
        <w:br/>
        <w:t>Having regard to the complete notification file submitted to the mergers department on</w:t>
        <w:br/>
        <w:t>November 22, 2023, concerning the exclusive control acquisition of the company Sodak by the company</w:t>
        <w:br/>
        <w:t>Socipar, formalized by a letter of intent dated October 27,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Socipar of the company</w:t>
        <w:br/>
        <w:t>Sodak, which operates several automobile distribution concessions in the department</w:t>
        <w:br/>
        <w:t>of Hérault (34). It constitutes a concentration operation within the meaning of Article L. 430-1 of the</w:t>
        <w:br/>
        <w:t>Commercial Code. Given the turnover achieved by the companies concerned,</w:t>
        <w:br/>
        <w:t>the operation does not fall under the jurisdiction of the European Union. On the other hand, the thresholds for</w:t>
        <w:br/>
        <w:t>control related to retail trade mentioned in II of Article L. 430-2 of the Commercial Code are exceeded. The present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23-285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