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https://www.autoritedelaconcurrence.fr/fr/decision-de-controle-des-concentrations/relative-la-prise-de-controle-exclusif-de-la-societe-sofibo</w:t>
      </w:r>
    </w:p>
    <w:p>
      <w:r>
        <w:t>Pages translated : 3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10-DCC-50 of May 25, 2010  </w:t>
        <w:br/>
        <w:t xml:space="preserve">regarding the exclusive control of the company Sofibo by the company  </w:t>
        <w:br/>
        <w:t xml:space="preserve">Montefiore Investment  </w:t>
        <w:br/>
        <w:t xml:space="preserve">The Competition Authority,  </w:t>
        <w:br/>
        <w:t xml:space="preserve">Having regard to the notification file submitted in full to the concentrations service on May 4, 2010,  </w:t>
        <w:br/>
        <w:t xml:space="preserve">regarding the exclusive control of the company Sofibo by the company Montefiore Investment,  </w:t>
        <w:br/>
        <w:t xml:space="preserve">formalized by a draft share and warrant transfer of the company Sofibo signed on May 7, 2010;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I. The companies concerned and the operation  </w:t>
        <w:br/>
        <w:t xml:space="preserve">1. Montefiore Investment (hereinafter "MI"), a simplified joint-stock company under French law, is  </w:t>
        <w:br/>
        <w:t xml:space="preserve">a portfolio management company whose capital is divided among Eric Bismuth (70%),  </w:t>
        <w:br/>
        <w:t xml:space="preserve">Daniel Elalouf (20%), and Thierry Sonalier (10%), the first having exclusive control of the  </w:t>
        <w:br/>
        <w:t xml:space="preserve">company1. Eric Bismuth also holds 99% of the company Solorema, a consulting and  </w:t>
        <w:br/>
        <w:t xml:space="preserve">investment company, which does not hold any controlling interest in other companies.  </w:t>
        <w:br/>
        <w:t xml:space="preserve">2. The company MI currently manages the risk capital mutual funds Montefiore  </w:t>
        <w:br/>
        <w:t xml:space="preserve">Investment I (hereinafter "FCPR MI I") and Montefiore Investment II (hereinafter "FCPR MI II")  </w:t>
        <w:br/>
        <w:t xml:space="preserve">which hold controlling interests in the capital of companies active in various fields such as  </w:t>
        <w:br/>
        <w:t xml:space="preserve">mobile home rental, distribution of board games and collectible cards, and vehicle rental brokerage. None of the investors  </w:t>
        <w:br/>
        <w:t xml:space="preserve">1There are two categories of shares: type A shares and type B shares. Eric Bismuth holds 100% of the type A shares,  </w:t>
        <w:br/>
        <w:t xml:space="preserve">representing a total of 70% of MI's capital. While both A and B shares confer voting rights, certain decisions are made by a  </w:t>
        <w:br/>
        <w:t xml:space="preserve">supermajority requiring the majority of votes held by A share holders. Therefore, given his holding of the  </w:t>
        <w:br/>
        <w:t>absolute majority of MI's capital as well as all type A shares, Eric Bismuth holds exclusive control of MI.</w:t>
      </w:r>
    </w:p>
    <w:p>
      <w:r>
        <w:t xml:space="preserve">in the FCPR MI I and FCPR MI II funds is in a position to exercise a decisive influence  </w:t>
        <w:br/>
        <w:t xml:space="preserve">on the decisions made by the governing bodies of the MI company or the FCPR MI I  </w:t>
        <w:br/>
        <w:t xml:space="preserve">and FCPR MI II funds. The total worldwide turnover excluding taxes of the MI group, for the fiscal year ending  </w:t>
        <w:br/>
        <w:t xml:space="preserve">June 30, 2009, amounted to [100-200] million euros, of which [&gt;50] million euros were generated  </w:t>
        <w:br/>
        <w:t xml:space="preserve">exclusively in France.  </w:t>
        <w:br/>
        <w:t xml:space="preserve">3. The company Sofibo, a simplified joint-stock company under French law, is active, through eight  </w:t>
        <w:br/>
        <w:t xml:space="preserve">subsidiary companies wholly owned by it, in the field of contemporary furniture at economical prices and, specifically, in the design, manufacture, and  </w:t>
        <w:br/>
        <w:t xml:space="preserve">marketing of sofas as well as other types of furniture, decorative objects, and lighting. The capital of the company Sofibo is divided among the company OB Fingest and its  </w:t>
        <w:br/>
        <w:t xml:space="preserve">representative Olivier Bourreau (36.35%), the company Jipebe and its representative Jean-Philippe  </w:t>
        <w:br/>
        <w:t xml:space="preserve">Bourreau (22.37%), the company Azulis Capital (23.50%), the company IPO (11.74%), the company  </w:t>
        <w:br/>
        <w:t xml:space="preserve">BNP Paribas Développement (1.96%), the company Natio Vie (1.96%) and finally warrants  </w:t>
        <w:br/>
        <w:t xml:space="preserve">held by several individuals (2.12%). The total worldwide turnover excluding taxes of the company Sofibo and its subsidiaries amounted, for  </w:t>
        <w:br/>
        <w:t xml:space="preserve">the fiscal year ending December 31, 2009, to [100-200] million euros, of which [&gt;50] million  </w:t>
        <w:br/>
        <w:t xml:space="preserve">euros in France.  </w:t>
        <w:br/>
        <w:t xml:space="preserve">4. The proposed operation is structured in two phases. In the first phase, a new company  </w:t>
        <w:br/>
        <w:t xml:space="preserve">named Sofibo Group SAS will be created, in the form of a simplified joint-stock company,  </w:t>
        <w:br/>
        <w:t xml:space="preserve">whose majority of capital and voting rights will be held by the company Montefiore  </w:t>
        <w:br/>
        <w:t xml:space="preserve">Investment (50.1%), the remainder being distributed among IPO, BNP Paribas Développement, OB  </w:t>
        <w:br/>
        <w:t xml:space="preserve">Fingest, JIBEPE, and individuals. In the second phase, this new company  </w:t>
        <w:br/>
        <w:t xml:space="preserve">will proceed to acquire all the shares of the company Sofibo.  </w:t>
        <w:br/>
        <w:t xml:space="preserve">5. According to the draft shareholders' agreement submitted, MI, with 50.1% of the voting rights of  </w:t>
        <w:br/>
        <w:t xml:space="preserve">Sofibo Group SAS, will hold exclusive control of it. The notified operation therefore constitutes  </w:t>
        <w:br/>
        <w:t xml:space="preserve">a concentration operation within the meaning of Article L. 430-1 of the Commercial Code.  </w:t>
        <w:br/>
        <w:t xml:space="preserve">Given the turnover of the companies concerned, it is not of community dimension. However, the thresholds mentioned in I of Article L. 430-2 of the Commercial Code are exceeded. The proposed operation is therefore subject to the provisions of Articles  </w:t>
        <w:br/>
        <w:t xml:space="preserve">L. 430-3 and following of the Commercial Code relating to economic concentration.  </w:t>
        <w:br/>
        <w:t xml:space="preserve">II. Competitive analysis  </w:t>
        <w:br/>
        <w:t xml:space="preserve">6. The company Sofibo and its subsidiaries are active in the sector of manufacturing and  </w:t>
        <w:br/>
        <w:t xml:space="preserve">wholesale marketing of furniture items and, more particularly, sofas and armchairs. None of the companies currently controlled by the company MI are active in the  </w:t>
        <w:br/>
        <w:t xml:space="preserve">aforementioned markets nor in markets that have, with them, vertical or related links. Therefore, the notified operation is not likely to harm competition.  </w:t>
        <w:br/>
        <w:t>2</w:t>
      </w:r>
    </w:p>
    <w:p>
      <w:r>
        <w:t xml:space="preserve">DECIDES  </w:t>
        <w:br/>
        <w:t xml:space="preserve">Sole Article: The operation notified under number 10-0059 is authorized.  </w:t>
        <w:br/>
        <w:t xml:space="preserve">The President,  </w:t>
        <w:br/>
        <w:t xml:space="preserve">Bruno Lasserre  </w:t>
        <w:br/>
        <w:t xml:space="preserve">Competition Authority  </w:t>
        <w:br/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