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https://www.autoritedelaconcurrence.fr/fr/decision-de-controle-des-concentrations/relative-la-prise-de-controle-exclusif-de-la-societe-sofidy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18-DCC-211 of December 7, 2018  </w:t>
        <w:br/>
        <w:t xml:space="preserve">regarding the exclusive control acquisition of the company Sofidy by the company  </w:t>
        <w:br/>
        <w:t xml:space="preserve">Tikehau Capital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13, 2018, concerning the exclusive control acquisition of the company Sofidy by the company  </w:t>
        <w:br/>
        <w:t xml:space="preserve">Tikehau Capital, formalized by a share transfer and contribution agreement dated  </w:t>
        <w:br/>
        <w:t xml:space="preserve">October 19,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Tikehau Capital of  </w:t>
        <w:br/>
        <w:t xml:space="preserve">the company Sofidy. Given the turnover generated by the companies concerned,  </w:t>
        <w:br/>
        <w:t xml:space="preserve">the operation does not fall under the jurisdiction of the European Union. However, the thresholds for  </w:t>
        <w:br/>
        <w:t xml:space="preserve">control mentioned in I of Article L. 430-2 of the Commercial Code are exceeded. This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The operation was notified to the German competition authority on  </w:t>
        <w:br/>
        <w:t xml:space="preserve">November 2, 2018.  </w:t>
        <w:br/>
        <w:t xml:space="preserve">3. The markets concerned by the operation are the markets for the management of real estate assets on  </w:t>
        <w:br/>
        <w:t xml:space="preserve">behalf of third parties, property management, and asset management on behalf of  </w:t>
        <w:br/>
        <w:t xml:space="preserve">businesses and institutional clients, which are consistently defined by the decision-making practice  </w:t>
        <w:br/>
        <w:t xml:space="preserve">of the Competition Authority.  </w:t>
        <w:br/>
        <w:t xml:space="preserve">4. Regardless of the segmentations retained, the combined market shares of the parties are  </w:t>
        <w:br/>
        <w:t xml:space="preserve">below 25% when their activities overlap in the same market and below 30% when  </w:t>
        <w:br/>
        <w:t xml:space="preserve">their activities are located in upstream or downstream markets.  </w:t>
        <w:br/>
        <w:t xml:space="preserve">5.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Single Article: The operation notified under number 18-249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