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https://www.autoritedelaconcurrence.fr/fr/decision-de-controle-des-concentrations/relative-la-prise-de-controle-exclusif-de-la-societe-sogefi</w:t>
      </w:r>
    </w:p>
    <w:p>
      <w:r>
        <w:t>Pages translated : 3</w:t>
      </w:r>
    </w:p>
    <w:p/>
    <w:p>
      <w:r>
        <w:rPr>
          <w:b/>
        </w:rPr>
        <w:t>[Pages 1–3]</w:t>
      </w:r>
    </w:p>
    <w:p>
      <w:r>
        <w:t xml:space="preserve">FRENCH REPUBLIC  </w:t>
        <w:br/>
        <w:t xml:space="preserve">Decision No. 09-DCC-92 of December 31, 2009  </w:t>
        <w:br/>
        <w:t xml:space="preserve">regarding the exclusive control of the company SOGEFI  </w:t>
        <w:br/>
        <w:t xml:space="preserve">by the company SIPA  </w:t>
        <w:br/>
        <w:t xml:space="preserve">The Competition Authority,  </w:t>
        <w:br/>
        <w:t xml:space="preserve">Having regard to the notification file sent to the Concentrations Service of the Competition Authority on November 19, 2009, and declared complete on December 17, regarding the exclusive control of the company SOGEFI by the company SIPA;  </w:t>
        <w:br/>
        <w:t xml:space="preserve">Having regard to the minutes of the deliberations of the supervisory boards of the companies SOGEFI and SIPA dated October 9 and November 6, 2009, as well as the letter of intent signed on October 23, 2009;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The Société d’Investissement et de Participations d’Aquitaine (SIPA), a public limited company owned by individuals, is engaged in the retail sale of new and used vehicles to individuals and professionals, the repair and maintenance of vehicles, as well as the sale of spare parts, across 26 locations in the southwest of France. It operates car dealerships distributing 13 brands: Abarth, Alfa Romeo, BMW and Mini, Chevrolet, Citroën, Fiat, Honda, Lancia, Opel, Seat, Suzuki, Volvo. In 2008, the company SIPA achieved a total turnover excluding taxes of 322.5 million euros exclusively in France.  </w:t>
        <w:br/>
        <w:t xml:space="preserve">2. The Société Générale financière (SOGEFI) is a public limited company, holding a group of companies engaged in the retail sale of new and used vehicles to individuals and professionals, the repair and maintenance of vehicles, as well as the sale of spare parts, in Toulouse and its suburbs. SOGEFI distributes 5 brands of vehicles: Alfa Romeo, Fiat, Lancia, Opel, Volkswagen. In 2008, the company SOGEFI achieved a total turnover excluding taxes of 78.8 million euros exclusively in France.  </w:t>
        <w:br/>
        <w:t xml:space="preserve">3. The proposed transaction consists of the acquisition, under various suspensive conditions, by the company SIPA of all the shares of the company SOGEFI.  </w:t>
        <w:br/>
        <w:t xml:space="preserve">4. As it results in the exclusive control of SOGEFI by SIPA, the notified transaction constitutes a concentration operation within the meaning of Article L.430-1 of the Commercial Code. Given the turnovers of the companies concerned, it does not have a Community dimension. However, the thresholds provided for in I of Article L.430-2 of the Commercial Code are exceeded. The present transaction is therefore subject to the provisions of Articles L.430-3 and following of the Commercial Code relating to economic concentration.  </w:t>
        <w:br/>
        <w:t xml:space="preserve">II. Definition of relevant markets  </w:t>
        <w:br/>
        <w:t xml:space="preserve">A. DEFINITION OF MARKETS IN TERMS OF PRODUCTS AND SERVICES  </w:t>
        <w:br/>
        <w:t xml:space="preserve">5. In the distribution sector, the decision-making practice distinguishes:  </w:t>
        <w:br/>
        <w:t xml:space="preserve">- the distribution of new passenger cars intended for individual customers;  </w:t>
        <w:br/>
        <w:t xml:space="preserve">- the distribution of new passenger cars intended for professional customers;  </w:t>
        <w:br/>
        <w:t xml:space="preserve">- the distribution of commercial vehicles (notably light utility vehicles);  </w:t>
        <w:br/>
        <w:t xml:space="preserve">- the distribution of used vehicles;  </w:t>
        <w:br/>
        <w:t xml:space="preserve">- the distribution of spare parts and automotive accessories;  </w:t>
        <w:br/>
        <w:t xml:space="preserve">- the maintenance and repair services for motor vehicles;  </w:t>
        <w:br/>
        <w:t xml:space="preserve">- rental services.  </w:t>
        <w:br/>
        <w:t xml:space="preserve">6. There is no need to challenge these definitions during the examination of the present transaction.  </w:t>
        <w:br/>
        <w:t xml:space="preserve">7. In this case, the activities of the parties overlap in the distribution of new passenger cars intended for individual customers, the distribution of commercial vehicles, the distribution of spare parts and automotive accessories, and the maintenance and repair services for motor vehicles.  </w:t>
        <w:br/>
        <w:t xml:space="preserve">B. GEOGRAPHICAL DEFINITION OF MARKETS  </w:t>
        <w:br/>
        <w:t xml:space="preserve">8. Regarding the markets for the retail sale of new or used motor vehicles, the distribution of spare parts and automotive accessories, and the maintenance and repair services for motor vehicles, the decision-making practice retains a local geographical dimension. In fact, the analysis of the vehicle sales markets is generally conducted at the departmental level.  </w:t>
        <w:br/>
        <w:t xml:space="preserve">9. In this case, the activities of the parties overlap in the department of Haute Garonne, where the competitive analysis will be conducted.  </w:t>
        <w:br/>
        <w:t xml:space="preserve">III. Competitive analysis  </w:t>
        <w:br/>
        <w:t xml:space="preserve">10. In the market for the distribution of new passenger cars intended for individuals in the department of Haute Garonne, the market share of the company SIPA is estimated at 3.5% and that of the company SOGEFI at 7.6%. Thus, following the transaction, the market share of the new entity will rise to 11%.  </w:t>
        <w:br/>
        <w:t xml:space="preserve">11. In the market for the distribution of commercial vehicles, for the department of Haute Garonne, the market share of the new entity is estimated at 5.5% (3.1% for SOGEFI, 2.4% for SIPA).  </w:t>
        <w:br/>
        <w:t xml:space="preserve">12. In these markets, the new entity will compete with numerous dealers of brands marketed by the parties in Haute Garonne or of competing brands.  </w:t>
        <w:br/>
        <w:t xml:space="preserve">13. In the markets for the distribution of used vehicles, the retail sale of spare parts and automotive accessories, and the maintenance and repair of motor vehicles, where the positions of the parties are even weaker than in the local markets for the sale of new passenger vehicles, the transaction does not pose competitive risks.  </w:t>
        <w:br/>
        <w:t xml:space="preserve">14. The transaction is therefore not likely to harm competition in the relevant markets.  </w:t>
        <w:br/>
        <w:t xml:space="preserve">DECIDES  </w:t>
        <w:br/>
        <w:t xml:space="preserve">Sole Article: The notified transaction under number 09-0117 is authorized.  </w:t>
        <w:br/>
        <w:t xml:space="preserve">The Vice-President,  </w:t>
        <w:br/>
        <w:t xml:space="preserve">Françoise Aubert  </w:t>
        <w:br/>
        <w:t xml:space="preserve">Competition Authority  </w:t>
        <w:br/>
        <w:t>1 See in particular the decisions of the Competition Authority No. 09-DCC-05 of May 6, 2009, regarding the acquisition by the company Commerciale Citroën of the assets of the company Alteam Lisieux, No. 09-DCC-01 of April 8, 2009, regarding the acquisition of the company Pellier Metz S.A.S by the group Bailly S.A.S, or No. 09-DCC-25 regarding the acquisition of the company Automobiles Saint Loises by Mary Automobiles.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