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https://www.autoritedelaconcurrence.fr/fr/decision-de-controle-des-concentrations/relative-la-prise-de-controle-exclusif-de-la-societe-sogirc</w:t>
      </w:r>
    </w:p>
    <w:p>
      <w:r>
        <w:t>Pages translated : 2</w:t>
      </w:r>
    </w:p>
    <w:p/>
    <w:p>
      <w:r>
        <w:rPr>
          <w:b/>
        </w:rPr>
        <w:t>[Pages 1–2]</w:t>
      </w:r>
    </w:p>
    <w:p>
      <w:r>
        <w:t xml:space="preserve">FRENCH REPUBLIC  </w:t>
        <w:br/>
        <w:t xml:space="preserve">Decision No. 19-DCC-227 of December 5, 2019  </w:t>
        <w:br/>
        <w:t xml:space="preserve">regarding the exclusive control acquisition of the company SOGIRC by the  </w:t>
        <w:br/>
        <w:t xml:space="preserve">company Groupe LIP  </w:t>
        <w:br/>
        <w:t xml:space="preserve">The Competition Authority,  </w:t>
        <w:br/>
        <w:t xml:space="preserve">Having regard to the notification file sent to the mergers department on November 8, 2019, concerning  </w:t>
        <w:br/>
        <w:t xml:space="preserve">the exclusive control acquisition of the company SOGIRC by the company Groupe LIP, formalized by  </w:t>
        <w:br/>
        <w:t xml:space="preserve">a transfer protocol dated November 4, 2019;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of the company SOGIRC and its  </w:t>
        <w:br/>
        <w:t xml:space="preserve">subsidiaries by the company Groupe LIP. It constitutes a concentration within the meaning of Article L. 430-1 of the Commercial Code. Given the turnover achieved by the companies involved,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 xml:space="preserve">2. The markets primarily concerned by the operation are those of providing temporary work services to companies and providing permanent recruitment services, which are consistently defined by the decision-making practice of the Competition Authority.  </w:t>
        <w:br/>
        <w:t xml:space="preserve">3. Regardless of the segmentation considered, the combined market shares of the parties are below 25%.  </w:t>
        <w:br/>
        <w:t>4. Considering the elements of the file and in particular point 384 of the guidelines of the Competition Authority relating to the control of concentrations, the operation is not likely to harm competition.</w:t>
      </w:r>
    </w:p>
    <w:p>
      <w:r>
        <w:t xml:space="preserve">DECIDES  </w:t>
        <w:br/>
        <w:t xml:space="preserve">Sole Article: The operation notified under number 19-296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