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https://www.autoritedelaconcurrence.fr/fr/decision-de-controle-des-concentrations/relative-la-prise-de-controle-exclusif-de-la-societe-somavi</w:t>
      </w:r>
    </w:p>
    <w:p>
      <w:r>
        <w:t>Pages translated : 2</w:t>
      </w:r>
    </w:p>
    <w:p/>
    <w:p>
      <w:r>
        <w:rPr>
          <w:b/>
        </w:rPr>
        <w:t>[Pages 1–2]</w:t>
      </w:r>
    </w:p>
    <w:p>
      <w:r>
        <w:t>FRENCH REPUBLIC</w:t>
        <w:br/>
        <w:t>Decision No. 24-DCC-222 of October 15, 2024</w:t>
        <w:br/>
        <w:t>regarding the exclusive control acquisition of the company Somavi by the</w:t>
        <w:br/>
        <w:t>company Carrefour France</w:t>
        <w:br/>
        <w:t>The Competition Authority,</w:t>
        <w:br/>
        <w:t>Having regard to the complete notification file submitted to the mergers department on</w:t>
        <w:br/>
        <w:t>September 30, 2024, concerning the exclusive control acquisition of the company Somavi by the company</w:t>
        <w:br/>
        <w:t>Carrefour France, formalized by a letter of intent signed on July 10, 2024;</w:t>
        <w:br/>
        <w:t>Having regard to Book IV of the Commercial Code relating to the freedom of prices and competition, and</w:t>
        <w:br/>
        <w:t>notably its Articles L. 430-1 to L. 430-7;</w:t>
        <w:br/>
        <w:t>Adopts the following decision:</w:t>
        <w:br/>
        <w:t>1. The notified operation consists of the acquisition by the Carrefour group, via the company Carrefour</w:t>
        <w:br/>
        <w:t>France, of the entire capital of the company Somavi. The company Somavi operates a retail business primarily focused on food with a surface area of 4,100 m², under the Carrefour brand, located in Villefranche-de-Rouergue (12). The operation constitutes a concentration within the meaning of Article L. 430-1 of the Commercial Code. Given the turnover achieved by the concerned companies,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24-245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