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https://www.autoritedelaconcurrence.fr/fr/decision-de-controle-des-concentrations/relative-la-prise-de-controle-exclusif-de-la-societe-soparo</w:t>
      </w:r>
    </w:p>
    <w:p>
      <w:r>
        <w:t>Pages translated : 7</w:t>
      </w:r>
    </w:p>
    <w:p/>
    <w:p>
      <w:r>
        <w:rPr>
          <w:b/>
        </w:rPr>
        <w:t>[Pages 1–3]</w:t>
      </w:r>
    </w:p>
    <w:p>
      <w:r>
        <w:t xml:space="preserve">FRENCH REPUBLIC  </w:t>
        <w:br/>
        <w:t xml:space="preserve">Decision No. 10-DCC-60 of June 14, 2010  </w:t>
        <w:br/>
        <w:t>regarding the exclusive control of the company Soparo (Rolland group) by the group R&amp;R Ice Cream</w:t>
      </w:r>
    </w:p>
    <w:p>
      <w:r>
        <w:t xml:space="preserve">The Competition Authority,  </w:t>
        <w:br/>
        <w:t xml:space="preserve">Having regard to the notification file submitted in full to the merger service on May 11, 2010, regarding the exclusive control of the company Soparo Sas, head of the Rolland group, by the group R&amp;R Ice Cream, formalized by a share transfer agreement dated May 7, 2010, between the partners of the company Soparo Sas and the company R&amp;R Holdings France Sas, a subsidiary of the group R&amp;R Ice Cream;  </w:t>
        <w:br/>
        <w:t xml:space="preserve">Having regard to Book IV of the Commercial Code relating to price freedom and competition, and in particular Articles L. 430-1 to L. 430-7;  </w:t>
        <w:br/>
        <w:t xml:space="preserve">Having regard to the supplementary elements submitted by the parties during the investigation;  </w:t>
        <w:br/>
        <w:t>Adopts the following decision:</w:t>
      </w:r>
    </w:p>
    <w:p>
      <w:r>
        <w:t xml:space="preserve">I. The concerned companies and the operation  </w:t>
        <w:br/>
        <w:t xml:space="preserve">1. The company R&amp;R Holdings France is a simplified joint-stock company under French law, whose capital is wholly owned by the company R&amp;R Ice Cream Limited, a company under English law and head of the R&amp;R Ice Cream group. The latter is active in the production and sale of ice creams, water ices, and other frozen desserts. With several production plants, notably in the United Kingdom, Germany, Poland, and France, the group markets its products in several European countries, particularly in France, to wholesalers in the out-of-home catering sector and food-dominant retail businesses (large and medium-sized retailers, stores specializing in frozen products). The R&amp;R Ice Cream group is exclusively controlled by the investment fund Oaktree Capital Management L.P, which is itself owned by Oaktree Capital Group LLC (hereinafter "Oaktree"), headquartered in Los Angeles1. The total worldwide turnover of Oaktree and its subsidiaries amounted, in the last fiscal year ended in 2008, to [&gt; 150 million euros], of which [&gt; 50 million euros] were generated in France.  </w:t>
        <w:br/>
        <w:t>1 Oaktree does not hold any other stake in a company active in the ice cream sector.</w:t>
      </w:r>
    </w:p>
    <w:p>
      <w:r>
        <w:t xml:space="preserve">2. The Rolland group, consisting of the company Soparo Sas and two subsidiaries (Rolland Sas and Paladine Sas)2, specializes in the production and marketing of ice creams and frozen desserts, particularly to wholesalers in the out-of-home catering sector and food-dominant retail businesses. The total worldwide consolidated turnover of the group, excluding taxes, amounted, in the last fiscal year ended in 2009, to […], of which [&gt; 50 million euros] were generated in France.  </w:t>
        <w:br/>
        <w:t xml:space="preserve">3. The operation, formalized by a share transfer agreement dated May 7, 2010, concerns the acquisition, by the company R&amp;R Holdings France Sas, of all the shares of the company Soparo Sas, currently held by the family groups Yves and Jean-Pierre Rolland.  </w:t>
        <w:br/>
        <w:t>4. Insofar as it results in the exclusive control by the company R&amp;R Holdings France, a subsidiary of the R&amp;R Ice Cream group, of the company Soparo, the notified operation constitutes a concentration within the meaning of Article L. 430-1 of the Commercial Code. Given the turnover of the concerned companies, it does not have a community dimension. However, the control thresholds mentioned in Article L. 430-2-I of the Commercial Code are exceeded. The present operation is therefore subject to the provisions of Articles L. 430-3 of the Commercial Code relating to economic concentration.</w:t>
      </w:r>
    </w:p>
    <w:p>
      <w:r>
        <w:t xml:space="preserve">II. Delimitation of the relevant markets  </w:t>
        <w:br/>
        <w:t xml:space="preserve">5. The R&amp;R Ice Cream group and the companies of the Rolland group are simultaneously active in the sole sector of the production and marketing of ice creams, frozen desserts, and sorbets.  </w:t>
        <w:br/>
        <w:t xml:space="preserve">6. Community decision-making practice3 has considered that the sector of ice creams, frozen desserts, and sorbets includes all food products delivered frozen and consumed by the final consumer in the same form. It is distinguished from other frozen products, including other frozen desserts that are delivered frozen but consumed, by the final consumer, not frozen. The sale of ice creams, frozen desserts, and sorbets remains, moreover, a largely seasonal activity.  </w:t>
        <w:br/>
        <w:t xml:space="preserve">2 At the date of completion of the operation, Soparo Sas will hold exclusive control of the company Rolland Sas, which itself holds exclusive control of the company Paladine Sas. Prior to the operation, the company Rolland Sas also holds exclusive control of the company Socréo Sarl. As part of a reorganization prior to the completion of the present operation, the entire capital of Socréo will be sold to a third party (Lionel Rolland).  </w:t>
        <w:br/>
        <w:t>3 Decision of the European Commission No. IV/M422 of March 15, 1994, Unilever France/Ortiz Miko.</w:t>
      </w:r>
    </w:p>
    <w:p>
      <w:r>
        <w:t xml:space="preserve">A. PRODUCT MARKETS  </w:t>
        <w:br/>
        <w:t xml:space="preserve">1. DISTINCTION BASED ON THE PLACE OF FINAL CONSUMPTION OF THE PRODUCT.  </w:t>
        <w:br/>
        <w:t xml:space="preserve">7. Community decision-making practice4 has determined that three product markets can be distinguished in the sector of ice creams, frozen desserts, and sorbets (hereinafter "ice creams") according to the place of final consumption of the product5:  </w:t>
        <w:br/>
        <w:t xml:space="preserve">- the market for ice creams intended for home consumption, where the supply from ice cream producers meets the demand from purchasing centers of hypermarkets and supermarkets, as well as from stores specializing in frozen products;  </w:t>
        <w:br/>
        <w:t xml:space="preserve">- the market for ice creams intended for consumption in restaurants or catering (also called the out-of-home catering market, hereinafter "OOH"), where the supply from ice cream producers meets the demand from restaurateurs, communities, and their wholesalers;  </w:t>
        <w:br/>
        <w:t xml:space="preserve">- the market for ice creams intended for consumption at the point of sale or in the street, where the supply from ice cream producers meets the demand from operators managing these various points of sale, notably bakeries, kiosks, cinemas, as well as their wholesalers.  </w:t>
        <w:br/>
        <w:t xml:space="preserve">8. This distinction does not result from the technical characteristics of the product, which remain generally the same, but from the competition between producers that operates differently in each of these markets, taking into account various considerations, notably related to the greater or lesser seasonality of final consumer demand, prices, packaging methods, and distribution channels. For example, in the market for ice creams intended for home consumption, the final consumer purchases a product for later consumption in relatively large quantities and at a significantly lower price than in the market for ice cream consumed at the point of sale. The seasonality of demand is also much higher in this second market.  </w:t>
        <w:br/>
        <w:t xml:space="preserve">9. The parties to the operation believe that this segmentation into three markets of the ice cream production sector is still relevant and indicate that they are only simultaneously present in the first two: the home consumption market and the OOH market.  </w:t>
        <w:br/>
        <w:t xml:space="preserve">10. The market test confirmed the relevance of this delimitation. Some producers are, moreover, only present in one or two of these markets. This is the case, for example, of the R&amp;R group, which is absent from the market for ice creams intended for consumption at the point of sale. This distinction based on the place of final consumption will therefore be retained, in this case, for the competitive analysis.  </w:t>
        <w:br/>
        <w:t xml:space="preserve">4 Decision of the European Commission No. IV/M422 cited above, decision of the European Commission No. COMP/M2640 of February 25, 2002, Nestlé/Schöller  </w:t>
        <w:br/>
        <w:t>5 In its decision No. ME/2451/06 of June 29, 2006 Ruby Acquisitions Limited (Oaktree Capital Management)/Richmond Foods, the British Office of Fair Trading also considered these three product markets.</w:t>
      </w:r>
    </w:p>
    <w:p>
      <w:r>
        <w:rPr>
          <w:b/>
        </w:rPr>
        <w:t>[Pages 4–6]</w:t>
      </w:r>
    </w:p>
    <w:p>
      <w:r>
        <w:t>2. DISTINCTION WITHIN THE ICE CREAM MARKET FOR HOME CONSUMPTION BASED ON THE COMMERCIAL POSITIONING OF PRODUCTS.</w:t>
      </w:r>
    </w:p>
    <w:p>
      <w:r>
        <w:t>11. In the field of food products, decision-making practice has considered a possible segmentation of markets depending on whether the products are purchased by large and medium-sized retailers (hereinafter "GMS") to be sold under the distributor's brand (hereinafter "MDD") or under the manufacturer's brand (hereinafter "MDF"). Indeed, manufacturers of products sold under MDD only operate according to a specification defined by the retailer and have no role in defining the commercial strategies of these brands (decision to launch new products, communication policy, etc.). The identity of the operator supplying a retailer for its products sold under MDD remains unknown to the final consumer. Furthermore, purchases from manufacturers of products sold under MDD are generally made through tenders. The market test confirmed the use of this procedure in the sector of ice cream production sold under MDD. Contracts are concluded either for a duration of one year or for an indefinite duration with the possibility of terminating them, subject to notice, at any time.</w:t>
      </w:r>
    </w:p>
    <w:p>
      <w:r>
        <w:t>12. Nevertheless, the Authority noted in the same decisions that, for certain products, MDD exert a significant competitive pressure on MDF, as evidenced by the steady increase in the share of MDD in GMS sales. The intensity of this competition is particularly dependent on the degree of differentiation of the products and the brand recognition of manufacturers. In this case, responses to the market test indicated limited differences in terms of quality or packaging between ice creams sold under MDD and ice creams sold under MDF, but several brands, such as Miko, Carte d’Or, or Häagen Dazs, have a certain recognition among consumers. The share of MDD in total sales appears to be lower for ice creams than for other frozen products (approximately 40% compared to 70 to 80% for frozen vegetables, for example).</w:t>
      </w:r>
    </w:p>
    <w:p>
      <w:r>
        <w:t>13. However, it is not necessary to specify in this decision the intensity of the competitive pressure exerted by MDD on MDF, as the conclusions of the competitive analysis do not depend on it, the parties being simultaneously present only in the MDD segment. Only Rolland is present, to a limited extent, in the MDF segment with the brands Flipi, Venesia, Glace Sensation, and licensed brands such as Andros, Carambar, and Scooby-Doo.</w:t>
      </w:r>
    </w:p>
    <w:p>
      <w:r>
        <w:t>14. The competitive analysis concerning sales to GMS will therefore be conducted both on a market that includes products sold under MDF and under MDD and on the market that brings together GMS and all suppliers of MDD products.</w:t>
      </w:r>
    </w:p>
    <w:p>
      <w:r>
        <w:t>B. GEOGRAPHICAL MARKETS</w:t>
      </w:r>
    </w:p>
    <w:p>
      <w:r>
        <w:t>15. Community decision-making practice has determined that the relevant geographical market is national, considering differences in legislation, final consumer preferences, seasonality depending on climatic conditions, distribution channels, product composition and labeling, the respective share of the three product markets (home consumption, OOH, and consumption at the point of sale), the relative importance of the artisanal sector, and finally, the existence of different brands and producers focused on a given Member State.</w:t>
      </w:r>
    </w:p>
    <w:p>
      <w:r>
        <w:t>16. This position is consistent with that of the Competition Authority regarding food products, the relevant market generally being national due to specific tastes and eating habits in each country.</w:t>
      </w:r>
    </w:p>
    <w:p>
      <w:r>
        <w:t>17. However, the parties consider that regarding the supply of large retailers and wholesalers, the market is of European dimension, on the grounds that these clients source indiscriminately outside their country of origin, notably through tenders at the European level, and that ice cream suppliers in France are predominantly foreign groups.</w:t>
      </w:r>
    </w:p>
    <w:p>
      <w:r>
        <w:t>18. The market test, however, confirmed the national dimension of the ice cream market in France, primarily due to specific preferences and eating habits by country. Some suppliers indicated that certain products sold in France, such as the year-end ice log, were nonexistent in other European countries. Likewise, manufacturing recipes can be clearly different from one country to another.</w:t>
      </w:r>
    </w:p>
    <w:p>
      <w:r>
        <w:t>19. Therefore, there is no need, during the examination of this decision, to challenge the national delimitation of the markets.</w:t>
      </w:r>
    </w:p>
    <w:p>
      <w:r>
        <w:t>III. Competitive Analysis</w:t>
      </w:r>
    </w:p>
    <w:p>
      <w:r>
        <w:t>20. The notifying party presented market shares expressed both in value and in volume, the former being calculated, in the absence of other statistical data according to the parties, based on estimates made from ice cream sales to the final consumer. Given the lesser reliability of these latter figures, the market for ice cream production will be analyzed in volume, the most unfavorable hypothesis for the parties.</w:t>
      </w:r>
    </w:p>
    <w:p>
      <w:r>
        <w:t>A. THE ICE CREAM MARKET FOR HOME CONSUMPTION</w:t>
      </w:r>
    </w:p>
    <w:p>
      <w:r>
        <w:t>21. In a global market for ice creams intended for home consumption, encompassing both MDD and MDF, the combined market shares of the parties were estimated at [20-30]% for the year 2008 and [20-30]% for 2009 ([10-20]% for Rolland, of which less than [&lt;5]% in MDF, [10-20]% for R&amp;R). In this market, the parties face competition from numerous manufacturers, particularly from the Unilever and Nestlé groups, the two leaders in ice creams sold under MDF. With their respective brands (Miko, Carte d’Or, Magnum, Viennetta for Unilever and La Laitière, Sveltesse for Nestlé), the two groups hold market shares of [20-30]% and [20-30]% according to the parties' estimates for 2009. Alongside these large international companies, other foreign or French groups are involved: Ysco ([5-10]%), La Maison Boncolac ([5-10]%), Masterfood ([0-5]%), General Mills (with its Häagen Dazs brand, [0-5]%), as well as Belgian Ice Cream Group, Rosen, ICFC.</w:t>
      </w:r>
    </w:p>
    <w:p>
      <w:r>
        <w:t>22. Regarding products sold solely under MDD, these currently represent 42% in volume of the market for ice creams intended for home consumption. The parties accounted for, in 2008, [50-60]% ([30-40]% for the Rolland group and [20-30]% for the R&amp;R group) of total sales under MDD. Other manufacturers participating in the tenders launched by large retailers include the Ysco group (market share of [20-30]%), Délice du Val Plessis, integrated into the Intermarché group ([5-10]%), La Maison Boncolac ([5-10]%), Belgian Ice Cream ([0-5]%). Other foreign competitors are increasingly responding to tenders launched on a European scale, such as the German groups Rosen and Humana, and the Spanish groups ICFC and Menorquina.</w:t>
      </w:r>
    </w:p>
    <w:p>
      <w:r>
        <w:t>23. As the Authority has already noted in other markets for food products sold under MDD, the strong position of the parties must be relativized due to the purchasing power of large retailers in the MDD supply markets.</w:t>
      </w:r>
    </w:p>
    <w:p>
      <w:r>
        <w:t>24. First, they are not constrained by the demand of final consumers, as may be the case with well-known brands.</w:t>
      </w:r>
    </w:p>
    <w:p>
      <w:r>
        <w:t>25. Second, the tender procedure is widespread for the subscription of contracts, which are generally signed either for a short duration (most often one year) or for an indefinite duration but with the possibility of terminating them at any time with notice. Similarly, the parties indicated that these contracts usually contain change of control clauses allowing GMS to decide to postpone their demand following a disruption in the supplier's shareholding.</w:t>
      </w:r>
    </w:p>
    <w:p>
      <w:r>
        <w:t>26. Third, the fact that the same buyer distributes its purchases among several suppliers for the same product facilitates supplier switching. The notifying party points out that the Carrefour group decided, in 2009, to reduce its sourcing from them in favor of a German manufacturer, while maintaining its references for the affected MDD products.</w:t>
      </w:r>
    </w:p>
    <w:p>
      <w:r>
        <w:t>27. Fourth, the shift of GMS purchases to other ice cream manufacturers would be all the easier given that, according to responses to the market test, there are significant excess production capacities. The main competing manufacturers of the parties, in the segment of ice creams sold under MDD, have cumulative excess capacities greater than the total production of ice creams sold under MDD by the parties. Some competing operators have indicated that the present operation could lead GMS to diversify their sourcing and thus offer them new opportunities.</w:t>
      </w:r>
    </w:p>
    <w:p>
      <w:r>
        <w:t>28. Finally, both the parties and the responses to the market test highlighted the possibility, at all times, for manufacturers of ice creams sold under MDF to start producing MDD ice creams, using their existing production lines.</w:t>
      </w:r>
    </w:p>
    <w:p>
      <w:r>
        <w:t>29. The new entity should therefore not be able to increase its prices for products sold under MDD without its loss of market share offsetting the expected profit.</w:t>
      </w:r>
    </w:p>
    <w:p>
      <w:r>
        <w:t>30. Considering all the above elements, the operation is not likely to harm competition in the markets for ice creams intended for home consumption.</w:t>
      </w:r>
    </w:p>
    <w:p>
      <w:r>
        <w:rPr>
          <w:b/>
        </w:rPr>
        <w:t>[Pages 7–7]</w:t>
      </w:r>
    </w:p>
    <w:p>
      <w:r>
        <w:t>B. THE MARKET FOR ICE CREAMS INTENDED FOR OUT-OF-HOME CATERING</w:t>
      </w:r>
    </w:p>
    <w:p>
      <w:r>
        <w:t>31. The parties estimated their combined market shares at [10-20]% for the market of ice creams intended for OOH ([10-20]% for the Rolland group and [0-5]% for the R&amp;R group), representing a marginal addition of market shares. The parties indicate that they face several competing operators, such as Menorquina (estimated market share of [0-5]%), Mars ([0-5]%), and especially Unilever ([30-40]%) and Nestlé ([30-40%]), particularly powerful competitors, together accounting for almost two-thirds of this market.</w:t>
      </w:r>
    </w:p>
    <w:p>
      <w:r>
        <w:t>***</w:t>
      </w:r>
    </w:p>
    <w:p>
      <w:r>
        <w:t>32. In light of the above elements, the transaction is not likely to harm competition in any of the markets concerned by the transaction.</w:t>
      </w:r>
    </w:p>
    <w:p>
      <w:r>
        <w:t>DECIDES</w:t>
      </w:r>
    </w:p>
    <w:p>
      <w:r>
        <w:t>Single Article: The transaction notified under number 10-0050 is authorized.</w:t>
      </w:r>
    </w:p>
    <w:p>
      <w: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