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https://www.autoritedelaconcurrence.fr/fr/decision-de-controle-des-concentrations/relative-la-prise-de-controle-exclusif-de-la-societe-spaa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16-DCC-220 of December 20, 2016  </w:t>
        <w:br/>
        <w:t xml:space="preserve">regarding the exclusive control acquisition of the company SPAA by the company  </w:t>
        <w:br/>
        <w:t xml:space="preserve">Jean Lain Nippon  </w:t>
        <w:br/>
        <w:t xml:space="preserve">The Competition Authority,  </w:t>
        <w:br/>
        <w:t xml:space="preserve">Having regard to the complete notification file sent to the mergers department on December 5, 2016,  </w:t>
        <w:br/>
        <w:t xml:space="preserve">concerning the exclusive control acquisition of the company SPAA by the company Jean Lain Nippon,  </w:t>
        <w:br/>
        <w:t xml:space="preserve">formalized by a letter of intent dated October 28, 2016;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Jean Lain Nippon of  </w:t>
        <w:br/>
        <w:t xml:space="preserve">the company SPAA, which operates car dealerships under the Toyota brands in  </w:t>
        <w:br/>
        <w:t xml:space="preserve">the department of Isère (38). This operation constitutes a concentration operation within the meaning  </w:t>
        <w:br/>
        <w:t xml:space="preserve">of Article L. 430-1 of the Commercial Code. Given the turnover achieved by the  </w:t>
        <w:br/>
        <w:t xml:space="preserve">concerned companies, the operation does not fall under the jurisdiction of the European Union. However,  </w:t>
        <w:br/>
        <w:t xml:space="preserve">the retail trade control thresholds mentioned in point II of Article L. 430-2 of the Commercial Code are exceeded.  </w:t>
        <w:br/>
        <w:t xml:space="preserve">The present operation is therefore subject to the provisions of Articles L. 430-3 and following of the Commercial Code  </w:t>
        <w:br/>
        <w:t xml:space="preserve">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16-237 is authorized.  </w:t>
        <w:br/>
        <w:t xml:space="preserve">The Vice-President,  </w:t>
        <w:br/>
        <w:t xml:space="preserve">Claire Favre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