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https://www.autoritedelaconcurrence.fr/fr/decision-de-controle-des-concentrations/relative-la-prise-de-controle-exclusif-de-la-societe-sport</w:t>
      </w:r>
    </w:p>
    <w:p>
      <w:r>
        <w:t>Pages translated : 6</w:t>
      </w:r>
    </w:p>
    <w:p/>
    <w:p>
      <w:r>
        <w:rPr>
          <w:b/>
        </w:rPr>
        <w:t>[Pages 1–3]</w:t>
      </w:r>
    </w:p>
    <w:p>
      <w:r>
        <w:t xml:space="preserve">FRENCH REPUBLIC  </w:t>
        <w:br/>
        <w:t xml:space="preserve">Decision No. 18-DCC-169 of October 18, 2018  </w:t>
        <w:br/>
        <w:t xml:space="preserve">regarding the exclusive control of the company Sport 2000 by  </w:t>
        <w:br/>
        <w:t xml:space="preserve">Activa Capital  </w:t>
        <w:br/>
        <w:t xml:space="preserve">The Competition Authority,  </w:t>
        <w:br/>
        <w:t xml:space="preserve">Having regard to the notification file submitted in full to the merger service on  </w:t>
        <w:br/>
        <w:t xml:space="preserve">September 14, 2018, concerning the exclusive control of the company Sport 2000 by the company  </w:t>
        <w:br/>
        <w:t xml:space="preserve">Activa Capital, formalized by the notification of statutory provisions to the company Sport 2000  </w:t>
        <w:br/>
        <w:t xml:space="preserve">dated July 10, 2018;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notifying party during the investigation;  </w:t>
        <w:br/>
        <w:t xml:space="preserve">Adopts the following decision:  </w:t>
        <w:br/>
        <w:t xml:space="preserve">I. The concerned companies and the operation  </w:t>
        <w:br/>
        <w:t xml:space="preserve">1. Activa Capital SAS (hereinafter "Activa Capital") is a portfolio management company  </w:t>
        <w:br/>
        <w:t xml:space="preserve">approved by the Financial Markets Authority. Activa Capital holds stakes, via the  </w:t>
        <w:br/>
        <w:t xml:space="preserve">venture capital funds Activa Capital Fund and Activa Capital Fund II, in  </w:t>
        <w:br/>
        <w:t xml:space="preserve">several companies, including Atlas for Men and Look Cycle. Atlas for Men designs and  </w:t>
        <w:br/>
        <w:t xml:space="preserve">sells by mail clothing, shoes, and outdoor accessories,  </w:t>
        <w:br/>
        <w:t xml:space="preserve">mainly aimed at a male clientele. Look Cycle manufactures and markets  </w:t>
        <w:br/>
        <w:t xml:space="preserve">bicycles and bicycle accessories (pedals, cranksets, handlebars, etc.). The share capital of Activa  </w:t>
        <w:br/>
        <w:t xml:space="preserve">Capital is held by private investors none of whom exercise control within the meaning of  </w:t>
        <w:br/>
        <w:t xml:space="preserve">competition law.  </w:t>
        <w:br/>
        <w:t xml:space="preserve">2. Sport 2000 France SAS (hereinafter "Sport 2000") is the parent company of a network of  </w:t>
        <w:br/>
        <w:t xml:space="preserve">cooperatives*, composed of independent stores operated under one of the brands of Sport  </w:t>
        <w:br/>
        <w:t xml:space="preserve">2000, including "Sport 2000" and "Mondovélo." The stores under the "Sport 2000" brands  </w:t>
        <w:br/>
        <w:t xml:space="preserve">distribute sporting goods (textiles and equipment), while the stores under the "Mondovélo" brand  </w:t>
        <w:br/>
        <w:t xml:space="preserve">distribute bicycles and bicycle accessories.  </w:t>
        <w:br/>
        <w:t>*Correction of a material error</w:t>
      </w:r>
    </w:p>
    <w:p>
      <w:r>
        <w:t xml:space="preserve">3. The operation is formalized by the notification of statutory provisions to Sport 2000,  </w:t>
        <w:br/>
        <w:t xml:space="preserve">allowing Activa Capital to appoint the majority of the members of the board of directors,  </w:t>
        <w:br/>
        <w:t xml:space="preserve">granting it exclusive control over Sport 2000.  </w:t>
        <w:br/>
        <w:t xml:space="preserve">4. As it results in the exclusive control of Sport 2000 by Activa Capital,  </w:t>
        <w:br/>
        <w:t xml:space="preserve">the notified operation constitutes a concentration within the meaning of Article L. 430-1 of the  </w:t>
        <w:br/>
        <w:t xml:space="preserve">Commercial Code.  </w:t>
        <w:br/>
        <w:t xml:space="preserve">5. It was not subject to notification before its completion on July 10, 2018. The  </w:t>
        <w:br/>
        <w:t xml:space="preserve">developments below are therefore without prejudice to the possible application of the  </w:t>
        <w:br/>
        <w:t xml:space="preserve">provisions of Article L.430-8 of the Commercial Code.  </w:t>
        <w:br/>
        <w:t xml:space="preserve">6. The companies concerned together achieve a total worldwide turnover excluding taxes of more than  </w:t>
        <w:br/>
        <w:t xml:space="preserve">150 million euros (Activa Capital: approximately [&gt;150] million euros for the fiscal year ending  </w:t>
        <w:br/>
        <w:t xml:space="preserve">December 31, 2017; Sport 2000: [&lt;150] million euros for the same fiscal year). Each of these companies  </w:t>
        <w:br/>
        <w:t xml:space="preserve">has achieved in France a turnover exceeding 50 million euros (Activa Capital: approximately [&gt;150]  </w:t>
        <w:br/>
        <w:t xml:space="preserve">million euros for the fiscal year ending December 31, 2017; Sport 2000: [&gt;50] million euros for the  </w:t>
        <w:br/>
        <w:t xml:space="preserve">same fiscal year). Given these turnover figures, the operation does not fall under the jurisdiction of  </w:t>
        <w:br/>
        <w:t xml:space="preserve">the European Union. However, the control thresholds mentioned in I of Article L. 430-2 of the  </w:t>
        <w:br/>
        <w:t xml:space="preserve">Commercial Code are exceeded. This operation is therefore subject to the provisions of Articles L.  </w:t>
        <w:br/>
        <w:t xml:space="preserve">430-3 and following of the Commercial Code relating to economic concentration.  </w:t>
        <w:br/>
        <w:t xml:space="preserve">II. Delimitation of the relevant markets  </w:t>
        <w:br/>
        <w:t xml:space="preserve">7. The parties are simultaneously active in the retail distribution markets for clothing.  </w:t>
        <w:br/>
        <w:t xml:space="preserve">The operation is therefore likely to produce horizontal effects in these markets.  </w:t>
        <w:br/>
        <w:t xml:space="preserve">8. Furthermore, the acquirer is active in the upstream market for the manufacture and marketing of  </w:t>
        <w:br/>
        <w:t xml:space="preserve">bicycles and bicycle accessories, via Look Cycle, while the target, via Mondovélo, is active,  </w:t>
        <w:br/>
        <w:t xml:space="preserve">downstream, in the markets for the distribution of bicycles and bicycle accessories. These markets  </w:t>
        <w:br/>
        <w:t xml:space="preserve">are therefore concerned by the operation due to its vertical effects.  </w:t>
        <w:br/>
        <w:t xml:space="preserve">1 Regarding the upstream markets for the supply of clothing for men and women, defined globally by the  </w:t>
        <w:br/>
        <w:t xml:space="preserve">consistent decision-making practice of competition authorities, the parties represent a negligible share of purchases,  </w:t>
        <w:br/>
        <w:t>so that the operation is not likely to harm competition in these markets.</w:t>
      </w:r>
    </w:p>
    <w:p>
      <w:r>
        <w:t xml:space="preserve">1. THE RETAIL CLOTHING MARKET  </w:t>
        <w:br/>
        <w:t xml:space="preserve">9. Regarding the retail sale of clothing, the decision-making practice of the Competition Authority has  </w:t>
        <w:br/>
        <w:t xml:space="preserve">considered market segmentations based on (i) gender (men, women, children), (ii) the product range level  </w:t>
        <w:br/>
        <w:t xml:space="preserve">(low, medium, high-end), and (iii) the distribution channel (specialized boutiques, specialized large stores  </w:t>
        <w:br/>
        <w:t xml:space="preserve">("GSS"), food large stores ("GSA")).  </w:t>
        <w:br/>
        <w:t xml:space="preserve">10. Furthermore, the Competition Authority has considered a distinction between in-store clothing sales and  </w:t>
        <w:br/>
        <w:t xml:space="preserve">remote clothing sales.  </w:t>
        <w:br/>
        <w:t xml:space="preserve">11. However, the question of the exact definition of these markets can be left open insofar as, regardless of  </w:t>
        <w:br/>
        <w:t xml:space="preserve">the segmentation adopted, the conclusions of the competitive analysis remain unchanged.  </w:t>
        <w:br/>
        <w:t xml:space="preserve">12. In the present case, Activa Capital sells clothing only remotely, through its company Atlas for Men,  </w:t>
        <w:br/>
        <w:t xml:space="preserve">while Sport 2000 is active in the retail distribution markets for clothing in stores.  </w:t>
        <w:br/>
        <w:t xml:space="preserve">13. Regarding the geographical definition of the remote clothing distribution markets, the decision-making  </w:t>
        <w:br/>
        <w:t xml:space="preserve">practice has retained a national delimitation, given the linguistic differences, the heterogeneity of consumer habits,  </w:t>
        <w:br/>
        <w:t xml:space="preserve">as well as delivery costs. The markets for the retail distribution of clothing in stores are of local dimension,  </w:t>
        <w:br/>
        <w:t xml:space="preserve">with competition occurring between points of sale located in the same catchment area. This area is generally defined  </w:t>
        <w:br/>
        <w:t xml:space="preserve">by a radius corresponding to a 20-minute drive from a store.  </w:t>
        <w:br/>
        <w:t xml:space="preserve">14. There is no need to challenge these geographical delimitations in the present case.  </w:t>
        <w:br/>
        <w:t xml:space="preserve">2 See in particular the decisions of the Authority No. 10-DCC-139 of October 27, 2010, regarding the joint control of Maje, Sandro,  </w:t>
        <w:br/>
        <w:t xml:space="preserve">Claudie Pierlot, and HF Biousse by L Capital and Florac, and No. 16-DCC-121 of July 28, 2016, regarding the exclusive control of  </w:t>
        <w:br/>
        <w:t xml:space="preserve">Atlas for Men by Activa Capital.  </w:t>
        <w:br/>
        <w:t xml:space="preserve">3 See in particular the letter from the Minister of Economy, Finance and Industry C2005-129 of January 31, 2006, to the advisors of the  </w:t>
        <w:br/>
        <w:t xml:space="preserve">company Glam regarding a concentration in the ready-to-wear sector.  </w:t>
        <w:br/>
        <w:t xml:space="preserve">4 See the letter from the Minister of Economy, Finance and Industry of July 24, 2003, to the advisors of the company Vetir SA regarding a  </w:t>
        <w:br/>
        <w:t xml:space="preserve">concentration in the clothing distribution sector.  </w:t>
        <w:br/>
        <w:t xml:space="preserve">5 See the letter from the Minister of Economy, Finance and Industry of July 24, 2003, and the decisions of the Competition Authority No.  </w:t>
        <w:br/>
        <w:t xml:space="preserve">10-DCC-139 and No. 13-DCC-75 mentioned above.  </w:t>
        <w:br/>
        <w:t xml:space="preserve">6 See the decisions of the Competition Authority No. 10-DCC-77 of July 9, 2010, regarding the exclusive control of Afibel SAS by Damartex SA,  </w:t>
        <w:br/>
        <w:t xml:space="preserve">and No. 18-DCC-01 of January 10, 2018, regarding the acquisition of exclusive control of La Redoute by Motier.  </w:t>
        <w:br/>
        <w:t xml:space="preserve">7 See in particular the decisions No. 10-DCC-77 and No. 16-DCC-121 mentioned above.  </w:t>
        <w:br/>
        <w:t xml:space="preserve">8 Decision No. 16-DCC-69 of May 17, 2016, regarding the exclusive control of Du Pareil au Même by La Générale pour l’Enfant Major.  </w:t>
        <w:br/>
        <w:t>*Correction of a material error</w:t>
      </w:r>
    </w:p>
    <w:p>
      <w:r>
        <w:rPr>
          <w:b/>
        </w:rPr>
        <w:t>[Pages 4–6]</w:t>
      </w:r>
    </w:p>
    <w:p>
      <w:r>
        <w:t xml:space="preserve">2. THE MARKETS FOR THE MANUFACTURE AND COMMERCIALIZATION OF BICYCLES AND BICYCLE ACCESSORIES  </w:t>
        <w:br/>
        <w:t xml:space="preserve">15. National decision-making practice considers that, insofar as producers cannot easily switch to manufacturing products other than their own, it is generally appropriate to distinguish as many markets as there are product families.  </w:t>
        <w:br/>
        <w:t xml:space="preserve">16. In the present case, the articles produced by Look Cycle belong to the family of sporting goods, and more specifically to the segment of (i) bicycles and (ii) bicycle accessories.  </w:t>
        <w:br/>
        <w:t xml:space="preserve">17. According to the decision-making practice of competition authorities, the markets for the supply of non-food products are generally at least national in scope. The Competition Authority considers, without it being necessary to resolve the question, that the geographical market for the manufacture and commercialization of bicycles and bicycle accessories is at least national in scope.  </w:t>
        <w:br/>
        <w:t xml:space="preserve">3. THE MARKETS FOR THE RETAIL DISTRIBUTION OF BICYCLES AND BICYCLE ACCESSORIES  </w:t>
        <w:br/>
        <w:t xml:space="preserve">18. European decision-making practice has characterized a market for the retail distribution of sporting goods. It is conceivable to distinguish, within this market, a segment specific to (i) the distribution of bicycles and (ii) the distribution of bicycle accessories.  </w:t>
        <w:br/>
        <w:t xml:space="preserve">19. Several economic studies indicate that the distribution of bicycles is divided on the one hand according to four distinct channels (specialists, multi-sport brands, large stores, and online commerce) and on the other hand based on the range and destination of the bicycle (racing bicycles, electric bicycles, mountain bikes, children's bicycles, city bicycles, etc.). It does not appear necessary in light of these studies to segment this market based on distribution channels. However, since each type of bicycle is intended for a particular clientele, the different ranges of bicycles could, from the demand perspective, not be substitutable for one another.  </w:t>
        <w:br/>
        <w:t xml:space="preserve">20. In any case, the question of market segmentation in retail can be left open as long as the conclusions of the competitive analysis remain unchanged, regardless of the segmentation considered.  </w:t>
        <w:br/>
        <w:t xml:space="preserve">21. According to the decision-making practice of competition authorities, the markets for the distribution of non-food products are generally local in scope, with competition occurring between points of sale located within the same catchment area. The relationship between the parties being of a vertical nature, only the purchasing power of Mondovélo will be analyzed. This corresponds to Mondovélo's market share at the national level.  </w:t>
        <w:br/>
        <w:t xml:space="preserve">9 See in particular the decisions of the Competition Authority No. 09-DCC-26 of July 24, 2009, regarding the acquisition of the company Camif Collectivités by the company Manutan International, and No. 15-DCC-71 of June 17, 2015, regarding the exclusive control of the company Papeteries Pichon by the company Manutan International.  </w:t>
        <w:br/>
        <w:t xml:space="preserve">10 Decision of the European Commission M.8710 – JD / SONAE MC / BALAIKO / JDSH / SPORT ZONE of January 17, 2018.  </w:t>
        <w:br/>
        <w:t xml:space="preserve">11 The Cycle Observatory 2017; "The Bicycle Market," Xerfi, June 4, 2018; "Special Bicycle Economy," Atout France, 2009.  </w:t>
        <w:br/>
        <w:t xml:space="preserve">III. Competitive Analysis  </w:t>
        <w:br/>
        <w:t xml:space="preserve">A. ANALYSIS OF HORIZONTAL EFFECTS  </w:t>
        <w:br/>
        <w:t xml:space="preserve">22. In the national market for the distribution of clothing, the activities of the parties overlap in the markets for the distribution of men's clothing, on the one hand, and women's clothing, on the other.  </w:t>
        <w:br/>
        <w:t xml:space="preserve">23. The activities of the parties do not overlap if these markets are segmented by sales channel, as Atlas for Men is only active in the distance selling channel, while Sport 2000 is only active in the in-store sales channel.  </w:t>
        <w:br/>
        <w:t xml:space="preserve">24. At the national level, the combined market shares of the parties do not exceed [0-5]%, regardless of the segmentation adopted.  </w:t>
        <w:br/>
        <w:t xml:space="preserve">25. At the local level, the operation results in a very limited market share increment, less than 2 points. However, according to paragraph 398 of the guidelines of the Competition Authority regarding the control of concentrations, “[i]n cases where one of the parties to the operation holds extremely low market shares (less than 2%), the operation, a priori, does not harm competition, unless these shares reinforce an already very strong position.” In this case, consumers will retain numerous alternatives, both in-store and online or via catalog, regardless of their place of residence.  </w:t>
        <w:br/>
        <w:t xml:space="preserve">26. Given these elements, the operation is not likely to harm competition through horizontal effects in the retail clothing distribution markets in France.  </w:t>
        <w:br/>
        <w:t xml:space="preserve">B. ANALYSIS OF VERTICAL EFFECTS  </w:t>
        <w:br/>
        <w:t xml:space="preserve">27. A vertical concentration can restrict competition by making access to the markets in which the new entity will operate difficult, or even potentially excluding competitors or penalizing them by increasing their costs. This foreclosure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dismisses the risks of foreclosure when the market share of the company resulting from the operation in the relevant markets does not exceed 30%.  </w:t>
        <w:br/>
        <w:t xml:space="preserve">28. In this case, Look Cycle is a manufacturer of racing bicycles and bicycle accessories. Look Cycle addresses bicycle distributors, including Mondovélo, to market its products.  </w:t>
        <w:br/>
        <w:t xml:space="preserve">29. Look Cycle's market share, as a manufacturer of bicycles in the French market, is estimated at [0-5]%, across all bicycles, and at [5-10]% in the segment of the manufacture and commercialization of racing bicycles. Given these limited market shares, which confirm the existence of numerous alternative sources of supply to the new entity, the risk of foreclosure of bicycle distributors can be dismissed.  </w:t>
        <w:br/>
        <w:t xml:space="preserve">30. Regarding the analysis of the risk of foreclosure of competing bicycle manufacturers, it is necessary to analyze the purchasing power of the new entity, constituted by the Mondovélo store network. However, at the national level, Mondovélo represents [0-5]% of bicycle sales and less than 10% of racing bicycle sales. Therefore, competing bicycle manufacturers will have numerous outlets following the operation.  </w:t>
        <w:br/>
        <w:t xml:space="preserve">31. Given these elements, the operation is not likely to harm competition through vertical effects in the relevant markets.  </w:t>
        <w:br/>
        <w:t xml:space="preserve">DECIDES  </w:t>
        <w:br/>
        <w:t xml:space="preserve">Sole Article: The operation notified under number 18-158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