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https://www.autoritedelaconcurrence.fr/fr/decision-de-controle-des-concentrations/relative-la-prise-de-controle-exclusif-de-la-societe-sscp-0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24-DCC-17 of January 30, 2024</w:t>
        <w:br/>
        <w:t>regarding the exclusive control acquisition of the company SSCP Aero TopCo</w:t>
        <w:br/>
        <w:t>by the Motherson group</w:t>
        <w:br/>
        <w:t>The Competition Authority,</w:t>
        <w:br/>
        <w:t>Having regard to the complete notification file submitted to the mergers department on January 12, 2024,</w:t>
        <w:br/>
        <w:t>concerning the exclusive control acquisition of the company SSCP Aero TopCo by the Motherson group,</w:t>
        <w:br/>
        <w:t>formalized by a share purchase agreement dated October 20, 2023;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exclusive control acquisition by the Motherson group of the</w:t>
        <w:br/>
        <w:t>company SSCP Aero TopCo, which is primarily active in the sectors of supplying components for the aerospace industry.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23-292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