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https://www.autoritedelaconcurrence.fr/fr/decision-de-controle-des-concentrations/relative-la-prise-de-controle-exclusif-de-la-societe-star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26-DCC-61 of March 4, 2026  </w:t>
        <w:br/>
        <w:t xml:space="preserve">regarding the exclusive control acquisition of the company Star Investissement  </w:t>
        <w:br/>
        <w:t xml:space="preserve">by DIF Value-Add IV Coöperatief U.A.  </w:t>
        <w:br/>
        <w:t>The Competition Authority,</w:t>
      </w:r>
    </w:p>
    <w:p>
      <w:r>
        <w:t>Having regard to the complete notification file submitted to the mergers department on February 17, 2026, concerning the exclusive control acquisition of the company Star Investissement by DIF Value-Add IV Coöperatief U.A. (hereinafter "DIF"), formalized by a transfer contract signed on January 30, 2026;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 xml:space="preserve">Adopts the following decision:  </w:t>
        <w:br/>
        <w:t xml:space="preserve">1. The notified operation consists of the acquisition by DIF, through its subsidiary DIF Management B.V, of exclusive control of the company Star Investissement, a holding company of the Céleste group, which is notably active in the sectors of fixed telecommunications, IT services, and colocation services. The operation constitutes a concentration within the meaning of Article L. 430-1 of the Commercial Code. Given the revenues generated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26-040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