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https://www.autoritedelaconcurrence.fr/fr/decision-de-controle-des-concentrations/relative-la-prise-de-controle-exclusif-de-la-societe-steam</w:t>
      </w:r>
    </w:p>
    <w:p>
      <w:r>
        <w:t>Pages translated : 10</w:t>
      </w:r>
    </w:p>
    <w:p/>
    <w:p>
      <w:r>
        <w:rPr>
          <w:b/>
        </w:rPr>
        <w:t>[Pages 1–3]</w:t>
      </w:r>
    </w:p>
    <w:p>
      <w:r>
        <w:t xml:space="preserve">FRENCH REPUBLIC  </w:t>
        <w:br/>
        <w:t xml:space="preserve">Decision No. 19-DCC-265 of December 26, 2019  </w:t>
        <w:br/>
        <w:t xml:space="preserve">regarding the exclusive control of the company Steam Power Delta by the company Snef  </w:t>
        <w:br/>
        <w:t xml:space="preserve">The Competition Authority,  </w:t>
        <w:br/>
        <w:t xml:space="preserve">Having regard to the notification file submitted in full to the merger service on November 21, 2019, regarding the exclusive control of the company Steam Power Delta by the company Snef, formalized by a memorandum of understanding dated July 30, 2019;  </w:t>
        <w:br/>
        <w:t xml:space="preserve">Having regard to Book IV of the Commercial Code relating to price freedom and competition, and in particular its Articles L. 430-1 to L. 430-7;  </w:t>
        <w:br/>
        <w:t xml:space="preserve">Having regard to the other documents in the file;  </w:t>
        <w:br/>
        <w:t>Adopts the following decision:</w:t>
      </w:r>
    </w:p>
    <w:p>
      <w:r>
        <w:t xml:space="preserve">I. The Companies Involved and the Operation  </w:t>
        <w:br/>
        <w:t xml:space="preserve">1. The company SNEF SA (hereinafter "Snef") is the parent company of the Snef group. [Confidential]. The Snef group is organized around several activities such as electrical installation, industrial processes, digital technology, and operational maintenance of installations, nuclear, telecommunications, robotics, mechanical maintenance, engineering, security, and specific expertise in new technologies.  </w:t>
        <w:br/>
        <w:t xml:space="preserve">2. Steam Power Delta is a simplified joint-stock company established by Alstom Power Service (hereinafter "APS") for the purposes of the operation, whose assets consist of the "Balance of Plant" business (hereinafter "BoP") of the APS company and the entirety of the capital of the company Protea. This BoP activity includes, in particular, the professions of general electrical installations (hereinafter "IEG"), instrumentation, water treatment and nuclear safety, as well as a profession of physical protection of nuclear sites. The company Protea is a French manufacturer and designer of electrical panels and cabinets, notably for nuclear infrastructures. It was previously owned by the General Electric group.  </w:t>
        <w:br/>
        <w:t xml:space="preserve">3. APS is wholly owned by the company Alstom Power Systems, which is itself a 100% subsidiary of the company Geast, at the head of the General Electric group in France.  </w:t>
        <w:br/>
        <w:t xml:space="preserve">4. The operation, formalized by a memorandum of understanding signed by the parties on July 30, 2019, consists of the acquisition by Snef of the entirety of the share capital of the company Steam Power Delta. Insofar as it results in the exclusive control of Steam Power Delta by Snef, the notified operation constitutes a concentration within the meaning of Article L. 430-1 of the Commercial Code.  </w:t>
        <w:br/>
        <w:t>5. The companies involved together achieve a total worldwide turnover excluding taxes of more than 150 million euros (Snef: [≥ 150 million] euros for the fiscal year ending December 31, 2018; Steam Power Delta: [≤ 150 million] euros for the same fiscal year). Each of these companies has achieved a turnover in France exceeding 50 million euros (Snef: [≥ 50 million] euros for the fiscal year ending December 31, 2018; Steam Power Delta: [≥ 50 million]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6. The parties are concurrently active in the industrial supplies markets (A) and security (B). Furthermore, they are also active in the electrical engineering market in the nuclear sector (C), through installation and maintenance services. Finally, Steam Power Delta is present in the market for the marketing of industrial supplies in the nuclear sector (D).</w:t>
      </w:r>
    </w:p>
    <w:p>
      <w:r>
        <w:t xml:space="preserve">A. THE INDUSTRIAL SUPPLIES MARKET  </w:t>
        <w:br/>
        <w:t xml:space="preserve">7. The Authority has considered that the industrial supplies sector could be segmented into as many markets as there are families of products, insofar as each family of products serves a particular function and these families are not substitutable for one another in the eyes of professionals. The following markets have thus been identified: (i) tooling, (ii) machining, (iii) transmission, (iv) automation, (v) assembly, (vi) equipment, and (vii) protection, hygiene, and safety. According to decision-making practice, some of these product categories could be segmented more finely.  </w:t>
        <w:br/>
        <w:t xml:space="preserve">8. Regarding the geographical definition of the industrial supplies markets, the Authority analyzed the effects of concentration operations at the national and regional levels.  </w:t>
        <w:br/>
        <w:t xml:space="preserve">9. In this case, the parties are active in the automation segment.  </w:t>
        <w:br/>
        <w:t>10. The question of the exact delimitation of the relevant markets may, however, be left open, as the conclusions of the competitive analysis remain unchanged regardless of the segmentation adopted.</w:t>
      </w:r>
    </w:p>
    <w:p>
      <w:r>
        <w:t xml:space="preserve">B. THE SECURITY MARKET  </w:t>
        <w:br/>
        <w:t xml:space="preserve">11. Within the private security sector, the Authority has identified four distinct markets: (i) the guarding market (or surveillance by agent), (ii) the market for electronic surveillance equipment, (iii) the remote surveillance market, and (iv) the market for security services for air transport.  </w:t>
        <w:br/>
        <w:t xml:space="preserve">12. Within the guarding services market, two major activities have been identified: traditional guarding services (guarding at fixed points or mobile guarding through day or night patrols) and specialized guarding services (reception and filtering at access points, surveillance at workstations, baggage control, and person control).  </w:t>
        <w:br/>
        <w:t xml:space="preserve">13. The Commission has considered the existence of a distinct market for guarding services, encompassing concierge services and intervention in case of alarm.  </w:t>
        <w:br/>
        <w:t>14. The Authority considers that the guarding market is of national dimension, notably due to specific national regulations and the fact that the marketing of surveillance services by agents does not necessarily require having a network of agencies located near clients.</w:t>
      </w:r>
    </w:p>
    <w:p>
      <w:r>
        <w:rPr>
          <w:b/>
        </w:rPr>
        <w:t>[Pages 4–6]</w:t>
      </w:r>
    </w:p>
    <w:p>
      <w:r>
        <w:t>15. In this case, the parties are active in the French market for electronic surveillance equipment.</w:t>
      </w:r>
    </w:p>
    <w:p>
      <w:r>
        <w:t>C. THE ELECTRICAL ENGINEERING MARKET IN THE NUCLEAR SECTOR</w:t>
      </w:r>
    </w:p>
    <w:p>
      <w:r>
        <w:t>16. The nuclear sector in France encompasses professions related to the fuel cycle, the construction and maintenance of plants, and their decommissioning. Five major categories of professions have thus been identified in this sector: (i) activities related to the fuel cycle, (ii) the construction of nuclear plants, (iii) the production of electricity from nuclear energy, (iv) the maintenance and operational readiness of nuclear plants, and (v) the decommissioning of nuclear installations.</w:t>
      </w:r>
    </w:p>
    <w:p>
      <w:r>
        <w:t>17. The nuclear sector is primarily structured around calls for tenders, to which operators respond either individually or in groups. These tenders are initiated by several major clients, including EDF, Orano, CEA, and Iter. According to the information gathered during the investigation, a single tender related to electrical engineering services in the nuclear sector may consist of one or several activities in the electrical field (including the following activities: execution studies, installation work of industrial supplies on site, instrument adjustments, testing, and commissioning).</w:t>
      </w:r>
    </w:p>
    <w:p>
      <w:r>
        <w:t>18. In this case, the parties are active in the electrical engineering sectors within the nuclear sector, notably through installation and maintenance services.</w:t>
      </w:r>
    </w:p>
    <w:p>
      <w:r>
        <w:t>1. EXISTENCE OF A SPECIFIC MARKET FOR ELECTRICAL ENGINEERING ACTIVITIES IN THE NUCLEAR SECTOR</w:t>
      </w:r>
    </w:p>
    <w:p>
      <w:r>
        <w:t>19. According to the notifying party, the relevance of distinguishing between the electrical engineering market, as defined by the Authority, and the electrical engineering market in the nuclear sector is justified particularly by the presence of entry barriers in the latter sector related to the high level of expertise required and the certification requirements for personnel working on site. For example, companies whose personnel work in the plants must be CEFRI (French Committee for Certification in Radiation Protection) certified for the dosimetric monitoring of the personnel involved.</w:t>
      </w:r>
    </w:p>
    <w:p>
      <w:r>
        <w:t>20. The majority of respondents surveyed in the market test confirm that it is appropriate to distinguish a specific electrical engineering market for the nuclear sector. They indicate that this market includes activities related to work on nuclear sites (installation, construction, modification), maintenance, high current, low current, high voltage, general electrical installations (hereinafter "IEG"), various electrical installations (hereinafter "IED"), safety electrical installations (hereinafter "IES"), construction site electrical installations (hereinafter "IEC"), automation, instrumentation, and control-command.</w:t>
      </w:r>
    </w:p>
    <w:p>
      <w:r>
        <w:t>21. Like the notifying party, the respondents to the market tests reported the necessity of possessing specific qualifications and certifications in the nuclear sector. EDF indicates that for its service providers, the qualification allowing work on its sites is subject to an annual review of experience feedback to decide on its maintenance, suspension, or withdrawal.</w:t>
      </w:r>
    </w:p>
    <w:p>
      <w:r>
        <w:t>22. Consequently, it is necessary to identify an electrical engineering market in the nuclear sector, distinct from the market identified so far by decision-making practice.</w:t>
      </w:r>
    </w:p>
    <w:p>
      <w:r>
        <w:t>2. SERVICE MARKET</w:t>
      </w:r>
    </w:p>
    <w:p>
      <w:r>
        <w:t>Segmentation between installation and maintenance services</w:t>
      </w:r>
    </w:p>
    <w:p>
      <w:r>
        <w:t>23. According to the notifying party, a global market should be retained for electrical engineering services in the nuclear sector, particularly due to the diversity of activities of the operators and the needs of the clients.</w:t>
      </w:r>
    </w:p>
    <w:p>
      <w:r>
        <w:t>24. However, it emerges from the market tests conducted during the investigation that in the electrical engineering market in the nuclear sector, the activities of installation services are distinct from those related to maintenance.</w:t>
      </w:r>
    </w:p>
    <w:p>
      <w:r>
        <w:t>25. First, while the same operators may apply for tenders related to installation work and maintenance, the expected skills differ. Thus, according to EDF, installation services "particularly require study and work skills that are only partially or not at all necessary during maintenance operations."</w:t>
      </w:r>
    </w:p>
    <w:p>
      <w:r>
        <w:t>26. Next, the competitors of the parties indicate that installation markets are separate from maintenance markets by distinct purchasing bodies. Thus, at EDF, installation work is primarily prescribed by the CNEPE (National Center for Electric Production Equipment) or the DIPDE (Engineering Division for Deconstruction and Environment), which is not the case for maintenance work, whose tenders may be prescribed by regional purchasing agencies (hereinafter "ARAP") or directly by the plants. Furthermore, a competitor of the parties indicates that clients are organized with work teams and maintenance teams, each of these teams launching their own tender procedures.</w:t>
      </w:r>
    </w:p>
    <w:p>
      <w:r>
        <w:t>27. Finally, EDF also indicates that installation services are subject to specific contracts distinct from those related to maintenance services.</w:t>
      </w:r>
    </w:p>
    <w:p>
      <w:r>
        <w:t>Segmentation of the market for maintenance services</w:t>
      </w:r>
    </w:p>
    <w:p>
      <w:r>
        <w:t>28. According to the notifying party, electrical engineering maintenance in the nuclear sector encompasses several activities. Thus, it includes services related to the operational readiness of the nuclear fleet (replacement of old equipment with newer equipment) and services related to routine maintenance (troubleshooting).</w:t>
      </w:r>
    </w:p>
    <w:p>
      <w:r>
        <w:t>29. According to the respondents to the market tests, tenders related to routine maintenance are distinct from those related to the replacement of old equipment with newer equipment. Thus, within EDF, tenders related to the operational readiness of the fleet are proposed by the Operational Technical Unit ("UTO"), while those related to routine maintenance are essentially proposed by ARAPs, the plates corresponding to a set of nuclear power plants.</w:t>
      </w:r>
    </w:p>
    <w:p>
      <w:r>
        <w:t>30. Furthermore, the operators who bid for tenders related to operational maintenance services of the nuclear fleet are generally the same as those who bid for tenders concerning installation work: they thus have a national dimension (Vinci Énergies Nucléaire, Spie Nucléaire, Bouygues Énergies &amp; Services, Snef). However, according to the notifying party, the operators who bid for routine maintenance at the local level are not present in other tenders, notably for certification reasons.</w:t>
      </w:r>
    </w:p>
    <w:p>
      <w:r>
        <w:t>31. Considering the elements that have just been presented, in the nuclear sector, the market for electrical engineering maintenance could be segmented between operational readiness services for the nuclear fleet and routine maintenance.</w:t>
      </w:r>
    </w:p>
    <w:p>
      <w:r>
        <w:t>32. In any case, the exact delimitation of the electrical engineering market in the nuclear sector can be left open, with the conclusions of the competitive analysis remaining unchanged regardless of the segmentation retained.</w:t>
      </w:r>
    </w:p>
    <w:p>
      <w:r>
        <w:t>3. GEOGRAPHICAL MARKET</w:t>
      </w:r>
    </w:p>
    <w:p>
      <w:r>
        <w:t>Geographical delimitation of the installation services market</w:t>
      </w:r>
    </w:p>
    <w:p>
      <w:r>
        <w:t>33. According to the notifying party, installation services constitute a market of national dimension, particularly due to the national dimension of the operators. The national dimension of the participants in this segment is confirmed by the respondents to the market tests.</w:t>
      </w:r>
    </w:p>
    <w:p>
      <w:r>
        <w:t>34. Furthermore, the contracts concluded following the tenders are of national dimension, and since the work is predominantly carried out on multiple sites, they require a national presence.</w:t>
      </w:r>
    </w:p>
    <w:p>
      <w:r>
        <w:t>35. Finally, the execution of these contracts requires a strong capacity to mobilize study resources and mobile management teams relying on local labor or subcontracting.</w:t>
      </w:r>
    </w:p>
    <w:p>
      <w:r>
        <w:t>36. In any case, in this instance, the question of the exact geographical delimitation of the installation services market can be left open, with the conclusions of the competitive analysis remaining unchanged regardless of the segmentation retained. The effects of the operation on this market will be analyzed at the national level.</w:t>
      </w:r>
    </w:p>
    <w:p>
      <w:r>
        <w:t>Geographical delimitation of the maintenance services markets</w:t>
      </w:r>
    </w:p>
    <w:p>
      <w:r>
        <w:t>37. According to the notifying party, it is appropriate to distinguish within maintenance the markets for operational readiness of the fleet, of national dimension, from the markets for routine maintenance, of local dimension.</w:t>
      </w:r>
    </w:p>
    <w:p>
      <w:r>
        <w:t>38. Regarding the markets for operational readiness of the fleet, the national dimension proposed by the notifying party is confirmed by the investigation. It emerges from the market tests that the operators responding to the tenders are of national dimension. These include Spie Nucléaire, Vinci Énergies Nucléaire, APS, or Snef, which also respond to the installation work markets for electrical engineering.</w:t>
      </w:r>
    </w:p>
    <w:p>
      <w:r>
        <w:rPr>
          <w:b/>
        </w:rPr>
        <w:t>[Pages 7–9]</w:t>
      </w:r>
    </w:p>
    <w:p>
      <w:r>
        <w:t xml:space="preserve">39. Furthermore, the entity responsible for the operational maintenance of EDF's nuclear fleet, which represents, according to the notifying parties, more than half of the relevant market, is of national dimension.  </w:t>
        <w:br/>
        <w:t xml:space="preserve">40. Regarding the markets for routine maintenance, the regional dimension proposed by the notifying party is also confirmed by the market tests. The majority of respondents indicate that the markets for routine maintenance have a local dimension. Several competitors have stated that, for EDF, this type of work is prescribed within the framework of tenders for local markets that are either negotiated by nuclear sites or awarded through ARAPs, thus leading to the grouping of several sites. Bouygues Énergies &amp; Services confirms this analysis and specifies that the regional or multi-regional dimension of these maintenance works is explained by the need to have local skills that can be called upon quickly, ensuring interventions within short timeframes, flexibility, lower costs, and knowledge of the installations.  </w:t>
        <w:br/>
        <w:t xml:space="preserve">41. Concerning the respondents to the tenders related to routine maintenance services, they are most often of national dimension, although this national dimension is not an essential condition for winning them. Thus, EDF indicates that nuclear sites rely on a territorial anchorage allowing access to medium-sized, regional, or even purely local companies.  </w:t>
        <w:br/>
        <w:t xml:space="preserve">42. In this case, the analysis has been considered on a national dimension market for the operational maintenance of the fleet and a regional dimension market for routine maintenance.  </w:t>
        <w:br/>
        <w:t xml:space="preserve">43. The question of the exact geographical delimitation of these markets can, however, be left open, as the conclusions of the competitive analysis remain unchanged regardless of the segmentation retained.  </w:t>
        <w:br/>
        <w:t xml:space="preserve">D. THE MARKET FOR INDUSTRIAL SUPPLIES IN THE NUCLEAR SECTOR  </w:t>
        <w:br/>
        <w:t xml:space="preserve">1. OPERATION OF THE INDUSTRIAL SUPPLIES SECTOR IN THE NUCLEAR SECTOR  </w:t>
        <w:br/>
        <w:t xml:space="preserve">44. It emerges from the market tests that industrial supplies in the nuclear sector include, among others, the following products: cables, HTA and BT panels, HTA/BT transformers, penetrations, converters, steam turbines, backup generators, electrical distribution equipment, control and command equipment, protection equipment, batteries, transformers, electrical panels, and inverters.  </w:t>
        <w:br/>
        <w:t xml:space="preserve">45. Furthermore, this activity is considered distinct, even complementary to electrical engineering in the nuclear sector by the respondents to the market tests.  </w:t>
        <w:br/>
        <w:t xml:space="preserve">2. SERVICE MARKET  </w:t>
        <w:br/>
        <w:t xml:space="preserve">46. The respondents to the market tests confirm the existence of a market for industrial supplies in the nuclear sector distinct from the market for industrial supplies as defined by the Authority. However, it should be specified that when the activity of purchasing industrial supplies occurs within the framework of installation services for industrial supplies, it is an integral part of the electrical engineering market in the nuclear sector, as these services are often integrated within a single tender.  </w:t>
        <w:br/>
        <w:t xml:space="preserve">47. The existence of a market specific to the nuclear sector is justified by the fact that industrial supplies are subject to specific approvals or qualifications (seismic qualification, control and monitoring audits on materials built according to the RCC-E standard).  </w:t>
        <w:br/>
        <w:t xml:space="preserve">48. The clients of the parties have also been questioned about possible sub-segmentations related to industrial supplies in the nuclear sector.  </w:t>
        <w:br/>
        <w:t xml:space="preserve">49. The majority of them consider it relevant to segment this market more finely due to the distinct skills of the companies. Indeed, the professions and actors differ. According to the market test, while it does not seem relevant to retain tooling and machining, other segments related to (i) transmission, (ii) automation, (iii) assembly, (iv) equipment, as well as (v) protection, hygiene, and safety can, on the other hand, be considered.  </w:t>
        <w:br/>
        <w:t xml:space="preserve">50. The question of the exact delimitation of the market for industrial supplies in the nuclear sector can in any case be left open, as the conclusions of the competitive analysis remain unchanged regardless of the segmentation retained.  </w:t>
        <w:br/>
        <w:t xml:space="preserve">51. In this case, only the target is present in this market, in the automation segment, through the activity of manufacturer and designer of electrical panels and cabinets of Protea, which has a qualification in the nuclear field.  </w:t>
        <w:br/>
        <w:t xml:space="preserve">3. GEOGRAPHICAL MARKET  </w:t>
        <w:br/>
        <w:t xml:space="preserve">52. According to the parties, the markets for industrial supplies in the nuclear sector are of national dimension.  </w:t>
        <w:br/>
        <w:t xml:space="preserve">53. The majority of respondents to the market tests also believe that the markets for industrial supplies in the nuclear sector are of national dimension. Only Vinci Énergies Nucléaire indicated that some of the most sensitive equipment (turbines, transformer stations, steam generators, instrumentation) are often specific and may thus fall under an international market.  </w:t>
        <w:br/>
        <w:t xml:space="preserve">54. The question of the exact geographical delimitation of the market for industrial supplies in the nuclear sector can, however, be left open, as the conclusions of the competitive analysis remain unchanged regardless of the segmentation retained.  </w:t>
        <w:br/>
        <w:t xml:space="preserve">55. In this case, the effects of the operation on this market will be analyzed at the national level.  </w:t>
        <w:br/>
        <w:t xml:space="preserve">III. Competitive Analysis  </w:t>
        <w:br/>
        <w:t xml:space="preserve">56. The competitive analysis will focus on (A) the horizontal effects and then on (B) the vertical effects of the operation.  </w:t>
        <w:br/>
        <w:t xml:space="preserve">A. ANALYSIS OF HORIZONTAL EFFECTS  </w:t>
        <w:br/>
        <w:t xml:space="preserve">1. ON THE MARKETS FOR INDUSTRIAL SUPPLIES  </w:t>
        <w:br/>
        <w:t xml:space="preserve">57. At the national level, according to the estimates provided by the notifying party, the market share of the new entity in the market for industrial supplies will remain below 15%, regardless of the segmentation considered.  </w:t>
        <w:br/>
        <w:t xml:space="preserve">58. Therefore, the operation is not likely to harm competition through horizontal effects in the market for industrial supplies.  </w:t>
        <w:br/>
        <w:t xml:space="preserve">2. ON THE SECURITY MARKETS  </w:t>
        <w:br/>
        <w:t xml:space="preserve">59. At the national level, according to the estimates provided by the notifying party regarding the security markets, the market share of the new entity will remain below 10%, regardless of the segmentation retained.  </w:t>
        <w:br/>
        <w:t xml:space="preserve">60. Therefore, the operation is not likely to harm competition through horizontal effects in the security market.  </w:t>
        <w:br/>
        <w:t xml:space="preserve">3. ON THE MARKETS FOR ELECTRICAL ENGINEERING IN THE NUCLEAR SECTOR  </w:t>
        <w:br/>
        <w:t xml:space="preserve">61. At the national level, according to the estimates provided by the notifying party, the market share of the new entity will remain below [10-20]% in the electrical engineering market in the nuclear sector. In the national market for installation work services, this market share will rise to [10-20]% with an additional market share of [0-5]% for Steam Power Delta. In the market for operational maintenance services, the market share of the new entity will remain below [20-30]%.  </w:t>
        <w:br/>
        <w:t xml:space="preserve">62. According to the estimates provided by the notifying party, the market share of the new entity will remain below 15% in the various regional markets for routine maintenance services.  </w:t>
        <w:br/>
        <w:t xml:space="preserve">63. Following the operation, the new entity will continue to face competition from several major players (Vinci Énergies Nucléaire, Clemessy, Spie Nucléaire, Bouygues Énergies &amp; Services).  </w:t>
        <w:br/>
        <w:t xml:space="preserve">64. Furthermore, its offer will target a limited number of clients, the most important being EDF, within the framework of tenders. Given this situation, the new entity will be confronted with clients possessing significant bargaining power.  </w:t>
        <w:br/>
        <w:t>65. In this regard, the market tests conducted with the clients of the parties have allowed for an assessment of the expected effects of the operation. Orano thus estimates that its bargaining power is rather strong, due to the limited number of clients. The majority of clients surveyed also believe that competitive intensity will remain intact in the nuclear sector after the operation is completed, without the new entity being able to raise its prices. They also indicate that they have alternatives in these markets.</w:t>
      </w:r>
    </w:p>
    <w:p>
      <w:r>
        <w:rPr>
          <w:b/>
        </w:rPr>
        <w:t>[Pages 10–10]</w:t>
      </w:r>
    </w:p>
    <w:p>
      <w:r>
        <w:t>66. Consequently, the operation is not likely to harm competition through horizontal effects in the electrical engineering market in the nuclear sector.</w:t>
      </w:r>
    </w:p>
    <w:p>
      <w:r>
        <w:t>B. ANALYSIS OF VERTICAL EFFECTS</w:t>
      </w:r>
    </w:p>
    <w:p>
      <w:r>
        <w:t>67. A vertical concentration can restrict competition by making access to the markets in which the new entity will be active difficult, or even potentially eliminating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or services from upstream suppliers, thereby reducing their commercial outlets. However, the risks of lock-in can generally be ruled out when the market share of the new entity does not exceed 30% in the relevant markets.</w:t>
      </w:r>
    </w:p>
    <w:p>
      <w:r>
        <w:t>68. In this case, the target, through the activity of Protea, is present in the industrial supplies markets in the nuclear sector, and both parties are active in the electrical engineering market in the nuclear sector.</w:t>
      </w:r>
    </w:p>
    <w:p>
      <w:r>
        <w:t>69. The market share of the new entity will be below 15% following the operation in the industrial supplies market in the nuclear sector and between [20-30]% in the electrical engineering markets in the nuclear sector, regardless of the segmentation chosen.</w:t>
      </w:r>
    </w:p>
    <w:p>
      <w:r>
        <w:t>70. Consequently, the operation is not likely to harm competition through vertical effects in the relevant markets.</w:t>
      </w:r>
    </w:p>
    <w:p>
      <w:r>
        <w:t>DECIDES</w:t>
      </w:r>
    </w:p>
    <w:p>
      <w:r>
        <w:t>Sole Article: The operation notified under number 19-235 is authorized.</w:t>
      </w:r>
    </w:p>
    <w:p>
      <w: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