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https://www.autoritedelaconcurrence.fr/fr/decision-de-controle-des-concentrations/relative-la-prise-de-controle-exclusif-de-la-societe-stella</w:t>
      </w:r>
    </w:p>
    <w:p>
      <w:r>
        <w:t>Pages translated : 2</w:t>
      </w:r>
    </w:p>
    <w:p/>
    <w:p>
      <w:r>
        <w:rPr>
          <w:b/>
        </w:rPr>
        <w:t>[Pages 1–2]</w:t>
      </w:r>
    </w:p>
    <w:p>
      <w:r>
        <w:t xml:space="preserve">FRENCH REPUBLIC  </w:t>
        <w:br/>
        <w:t xml:space="preserve">Decision No. 15-DCC-85 of July 16, 2015  </w:t>
        <w:br/>
        <w:t xml:space="preserve">regarding the exclusive control acquisition of the company Stella by  </w:t>
        <w:br/>
        <w:t xml:space="preserve">Intermediate Capital Group  </w:t>
        <w:br/>
        <w:t xml:space="preserve">The Competition Authority,  </w:t>
        <w:br/>
        <w:t xml:space="preserve">Having regard to the complete notification file submitted to the mergers department on June 22, 2015,  </w:t>
        <w:br/>
        <w:t xml:space="preserve">concerning the exclusive control acquisition of the company Stella by Intermediate Capital Group, and  </w:t>
        <w:br/>
        <w:t xml:space="preserve">formalized by a memorandum of understanding dated June 22, 2015;  </w:t>
        <w:br/>
        <w:t xml:space="preserve">Having regard to Book IV of the Commercial Code relating to the freedom of prices and competition, and  </w:t>
        <w:br/>
        <w:t xml:space="preserve">notably its Articles L. 430-1 to L. 430-7;  </w:t>
        <w:br/>
        <w:t xml:space="preserve">Having regard to the additional information provided by the parties during the investigation;  </w:t>
        <w:br/>
        <w:t xml:space="preserve">Adopts the following decision:  </w:t>
        <w:br/>
        <w:t xml:space="preserve">1. The notified operation consists of the exclusive control acquisition of the company Stella, whose activity is the design, manufacture, and distribution of custom building closures, by the company Intermediate Capital Group. It constitutes a concentration operation within the meaning of Article L. 430-1 of the Commercial Code. Given the turnover achieved by the concerned companies,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15-108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