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https://www.autoritedelaconcurrence.fr/fr/decision-de-controle-des-concentrations/relative-la-prise-de-controle-exclusif-de-la-societe-stenn</w:t>
      </w:r>
    </w:p>
    <w:p>
      <w:r>
        <w:t>Pages translated : 2</w:t>
      </w:r>
    </w:p>
    <w:p/>
    <w:p>
      <w:r>
        <w:rPr>
          <w:b/>
        </w:rPr>
        <w:t>[Pages 1–2]</w:t>
      </w:r>
    </w:p>
    <w:p>
      <w:r>
        <w:t xml:space="preserve">FRENCH REPUBLIC  </w:t>
        <w:br/>
        <w:t xml:space="preserve">Decision No. 14-DCC-128 of August 29, 2014  </w:t>
        <w:br/>
        <w:t xml:space="preserve">regarding the exclusive control acquisition of the company Stenn by the company  </w:t>
        <w:br/>
        <w:t xml:space="preserve">Amidis et Compagnie (Carrefour Group)  </w:t>
        <w:br/>
        <w:t xml:space="preserve">The Competition Authority,  </w:t>
        <w:br/>
        <w:t xml:space="preserve">Having regard to the complete notification file sent to the mergers department on August 11, 2014,  </w:t>
        <w:br/>
        <w:t xml:space="preserve">concerning the exclusive control acquisition of the company Stenn by the operating company Amidis et  </w:t>
        <w:br/>
        <w:t xml:space="preserve">Compagnie and formalized by a synallagmatic promise of share transfer dated July 11,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Stenn, which operates  </w:t>
        <w:br/>
        <w:t xml:space="preserve">a business fund of food distribution under the Carrefour Market brand in the city of Toulouse (31), by the  </w:t>
        <w:br/>
        <w:t xml:space="preserve">operating company Amidis et Compagnie, a 100% subsidiary of the Carrefour Group. This operation constitutes a concentration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14-147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