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https://www.autoritedelaconcurrence.fr/fr/decision-de-controle-des-concentrations/relative-la-prise-de-controle-exclusif-de-la-societe-stva</w:t>
      </w:r>
    </w:p>
    <w:p>
      <w:r>
        <w:t>Pages translated : 9</w:t>
      </w:r>
    </w:p>
    <w:p/>
    <w:p>
      <w:r>
        <w:rPr>
          <w:b/>
        </w:rPr>
        <w:t>[Pages 1–3]</w:t>
      </w:r>
    </w:p>
    <w:p>
      <w:r>
        <w:t xml:space="preserve">FRENCH REPUBLIC  </w:t>
        <w:br/>
        <w:t xml:space="preserve">Decision No. 17-DCC-165 of October 10, 2017  </w:t>
        <w:br/>
        <w:t xml:space="preserve">regarding the exclusive control of the company STVA  </w:t>
        <w:br/>
        <w:t xml:space="preserve">by the CAT Group  </w:t>
        <w:br/>
        <w:t xml:space="preserve">The Competition Authority,  </w:t>
        <w:br/>
        <w:t xml:space="preserve">Having regard to the notification file submitted in full to the merger service on September 5, 2017,  </w:t>
        <w:br/>
        <w:t xml:space="preserve">regarding the exclusive control of the company STVA by the CAT Group, formalized by a  </w:t>
        <w:br/>
        <w:t xml:space="preserve">share acquisition agreement dated June 15, 2017;  </w:t>
        <w:br/>
        <w:t xml:space="preserve">Having regard to Book IV of the Commercial Code relating to the freedom of prices and competition, and  </w:t>
        <w:br/>
        <w:t xml:space="preserve">notably its Articles L. 430-1 to L. 430-7;  </w:t>
        <w:br/>
        <w:t xml:space="preserve">Having regard to the supplementary elements transmitted by the parties during the investigation;  </w:t>
        <w:br/>
        <w:t xml:space="preserve">Adopts the following decision:  </w:t>
        <w:br/>
        <w:t xml:space="preserve">I. The companies concerned and the operation  </w:t>
        <w:br/>
        <w:t xml:space="preserve">1. The company Global Automobile Logistics (GAL) is the parent company of a group of subsidiaries  </w:t>
        <w:br/>
        <w:t xml:space="preserve">forming the Compagnie d’Affrètement et de Transport Group (hereinafter: "CAT Group"). It  </w:t>
        <w:br/>
        <w:t xml:space="preserve">is 100% owned by the company Two Continents Logistics (TLC), a Spanish company,  </w:t>
        <w:br/>
        <w:t xml:space="preserve">and ultimately by an individual, Mr. Manuel Antelo. The CAT Group is active in the  </w:t>
        <w:br/>
        <w:t xml:space="preserve">sector of logistics for new automotive vehicles, known as "automotive logistics,"  </w:t>
        <w:br/>
        <w:t xml:space="preserve">an activity that encompasses all operations necessary to store, prepare, and transport  </w:t>
        <w:br/>
        <w:t xml:space="preserve">automotive vehicles from their place of production to the final recipient. It has  </w:t>
        <w:br/>
        <w:t xml:space="preserve">subsidiaries located in 26 countries, primarily in Europe, as well as in South America and North Africa,  </w:t>
        <w:br/>
        <w:t xml:space="preserve">and offers its services in over 80 countries, through its 65 logistics centers, 8 of which are located in France.  </w:t>
        <w:br/>
        <w:t xml:space="preserve">2. The company Transports de Véhicules Automobiles (hereinafter "STVA") is active in the  </w:t>
        <w:br/>
        <w:t xml:space="preserve">automotive logistics sector. It is ultimately controlled by the SNCF Mobilités Group. It  </w:t>
        <w:br/>
        <w:t xml:space="preserve">has 16 logistics centers in France.  </w:t>
        <w:br/>
        <w:t xml:space="preserve">3. On June 15, 2017, the parties concluded a share acquisition agreement under which the  </w:t>
        <w:br/>
        <w:t xml:space="preserve">CAT Group commits to acquire all of the capital and voting rights of the company  </w:t>
        <w:br/>
        <w:t xml:space="preserve">STVA. As it results in the exclusive control of STVA by CAT, the notified operation  </w:t>
        <w:br/>
        <w:t xml:space="preserve">constitutes a concentration operation within the meaning of Article L. 430-1 of the  </w:t>
        <w:br/>
        <w:t xml:space="preserve">Commercial Code.  </w:t>
        <w:br/>
        <w:t xml:space="preserve">4. The companies concerned together achieve a total worldwide turnover of  </w:t>
        <w:br/>
        <w:t xml:space="preserve">more than 150 million euros (Manuel Antelo: [...] euros for the financial year ending  </w:t>
        <w:br/>
        <w:t xml:space="preserve">December 31, 2016, STVA: [...] euros for the same financial year). Each achieves a  </w:t>
        <w:br/>
        <w:t xml:space="preserve">turnover in France exceeding 50 million euros (Manuel Antelo: [...] euros for the financial year  </w:t>
        <w:br/>
        <w:t xml:space="preserve">ending December 31, 2016; STVA: [...] euros for the same financial year). Given  </w:t>
        <w:br/>
        <w:t xml:space="preserve">these turnovers, the operation does not have a Community dimension. However, the  </w:t>
        <w:br/>
        <w:t xml:space="preserve">control thresholds mentioned in point I of Article L. 430-2 of the Commercial Code  </w:t>
        <w:br/>
        <w:t xml:space="preserve">are exceeded. The present operation is therefore subject to the provisions of Articles L. 430-3 and  </w:t>
        <w:br/>
        <w:t xml:space="preserve">following of the Commercial Code relating to economic concentration.  </w:t>
        <w:br/>
        <w:t xml:space="preserve">II. Definition of the relevant markets  </w:t>
        <w:br/>
        <w:t xml:space="preserve">5. The parties are simultaneously active in the sectors of general contractual logistics services  </w:t>
        <w:br/>
        <w:t xml:space="preserve">and logistics services for new automotive vehicles as well as in the transport services market.  </w:t>
        <w:br/>
        <w:t xml:space="preserve">1. SERVICE MARKETS  </w:t>
        <w:br/>
        <w:t xml:space="preserve">a) Logistics Services Markets  </w:t>
        <w:br/>
        <w:t xml:space="preserve">6. Decision-making practice has identified a market for general or "contractual" logistics services  </w:t>
        <w:br/>
        <w:t xml:space="preserve">consisting of linking the various links of a supply chain of goods between an origin point and a destination point, in order to optimally manage the flow and storage of said goods. This activity can be considered a global offer, as it combines a set of services such as, in particular,  </w:t>
        <w:br/>
        <w:t xml:space="preserve">storage, inventory management, order taking, and transport of goods at a time and place defined by the client.  </w:t>
        <w:br/>
        <w:t xml:space="preserve">7. The European Commission has considered the existence of a market for logistics services specific to automotive vehicles, distinct from general logistics services. "Automotive" logistics services generally encompass a set of operations necessary to store, prepare (painting, installation of accessories, etc.), organize, and manage the transportation of vehicles from their place of production or unloading to the final customer. The Commission has noted that these services meet the specific needs of certain clients, such as automobile manufacturers, car rental companies, corporate fleet managers, etc., for whom these services are not substitutable with other general logistics services. It also emphasized that they require from providers a specific know-how, specific material and human resources, including specialized platforms and storage areas of several hectares. The notifying party as well as the majority of respondents to the market test conducted for the purposes of the investigation of the present operation consider that automotive logistics services, given their specificity, constitute a distinct market from the general logistics services market and not just a simple segment of the latter. In any case, this question can be left open as it has no impact on the results of the competitive analysis.  </w:t>
        <w:br/>
        <w:t xml:space="preserve">8. Within this market, the Commission has considered, while leaving the question open, to distinguish between logistics services dedicated to passenger vehicles and light commercial vehicles, on the one hand, and those intended for trucks and other heavy industrial vehicles, on the other hand. However, the notifying party believes that this distinction is not relevant as a significant share of players is present in both segments and all automotive logistics players have the ability to offer, quickly and without significant investment, services related to heavy vehicles through subcontracting. However, a large majority of respondents to the market test believe that it is appropriate to distinguish according to these categories of vehicles that do not require the same transport equipment and for which customer requirements differ.  </w:t>
        <w:br/>
        <w:t xml:space="preserve">9. The Commission has also considered a segmentation by type of service offered. Indeed, automotive logistics services include three types of services, which are generally offered together but can also be offered separately: (i) upstream transport, from the factory to the storage center, known as "approach transport," (ii) storage and preparation of vehicles (carrying out aesthetic and transformation operations on vehicles present in storage areas), and (iii) downstream delivery of vehicles from the storage center to the final customer (dealers, rental companies, fleet managers).  </w:t>
        <w:br/>
        <w:t xml:space="preserve">The Competition Authority has considered a neighboring segmentation between (i) vehicle storage (temporary storage of vehicles on dedicated platforms), (ii) preparation of vehicles before delivery to the final customer, and (iii) transport of vehicles from the factory to the final customer.  </w:t>
        <w:br/>
        <w:t xml:space="preserve">10. The parties do not subscribe to this segmentation and argue that the clients of automotive logistics service providers have transport, preparation, and storage needs that fall within the acquisition of a global service offer relevant to a single purchasing process. They further indicate that most players in the sector offer global services and that the sale of separate services occurs only marginally. However, the majority of respondents to the market test believe that while the services comprising automotive logistics activities are most often sold globally, there are distinct markets corresponding to each of them, as these services can be offered in isolation based on the specific needs of the client or can be subcontracted to a competitor or to a player specialized in only one of these activities. In any case, this question can be left open as it has no impact on the results of the competitive analysis.  </w:t>
        <w:br/>
        <w:t>11. Finally, decision-making practice has considered segmenting automotive logistics services based on the mode of transport used for the transportation of vehicles (sea, road, or rail), while recognizing a partial substitutability between these different modes. The majority of respondents to the market test believe that this segmentation is relevant given the lack of substitutability between the different modes of transport from the supply side. In this case, the question of the precise delimitation of these different markets can, however, be left open as, regardless of the segmentation retained, the conclusions of the competitive analysis remain unchanged.</w:t>
      </w:r>
    </w:p>
    <w:p>
      <w:r>
        <w:rPr>
          <w:b/>
        </w:rPr>
        <w:t>[Pages 4–6]</w:t>
      </w:r>
    </w:p>
    <w:p>
      <w:r>
        <w:t xml:space="preserve">b) Automotive Vehicle Transport Market  </w:t>
        <w:br/>
        <w:t xml:space="preserve">12. The European Commission has considered a specific market for the transport of automotive vehicles, vertically integrated with that of automotive logistics services. This market covers the actual transport activity of automotive vehicles, in which vehicle transport specialists and automotive logisticians are active. Indeed, for the execution of the transport activity, a component of the logistics service, automotive logisticians can either use their own fleet of vehicles or engage subcontractors. Furthermore, decision-making practice has considered a segmentation of the freight transport market according to the mode of transport (air; maritime; rail; road; inland waterways). The majority of respondents to the market test believe that there is a need to distinguish a market for the transport services of new vehicles segmented according to the mode of transport used.  </w:t>
        <w:br/>
        <w:t xml:space="preserve">13. In this case, the parties are simultaneously active in the market for the land transport of automotive vehicles.  </w:t>
        <w:br/>
        <w:t xml:space="preserve">14. The question of the precise delineation of these different markets can, however, be left open insofar as, regardless of the segmentation adopted, the conclusions of the competitive analysis remain unchanged.  </w:t>
        <w:br/>
        <w:t xml:space="preserve">B. GEOGRAPHICAL MARKETS  </w:t>
        <w:br/>
        <w:t xml:space="preserve">a) Logistics Services Markets  </w:t>
        <w:br/>
        <w:t xml:space="preserve">15. The markets for general logistics services have been defined by decision-making practice as being of national dimension.  </w:t>
        <w:br/>
        <w:t xml:space="preserve">16. Decision-making practice considers that the markets for automotive logistics are of national or even European dimension, while leaving the question open. The majority of respondents to the market test believe that the markets for automotive logistics services have a dual dimension: (i) European, insofar as market players are active in several Member States and respond to a demand from manufacturers at the European level, and (ii) national, as certain contracts are concluded for the territory of a single State and the implementation of logistics services to end customers located in a State requires mobilizing certain assets (fleet, storage centers, etc.) in that same State. The majority of respondents (competitors and customers) believe that the market is not infranational.  </w:t>
        <w:br/>
        <w:t xml:space="preserve">17. The Commission, while leaving the question open, has considered that the potential segment of storage and downstream transport activity may have an infranational dimension. In this case, half of the competitors surveyed believe that the activities of storage and downstream transport are of local dimension corresponding to areas with a radius of 100 to 500 km around the storage platforms. In any event, this question can be left open as it has no impact on the results of the competitive analysis.  </w:t>
        <w:br/>
        <w:t xml:space="preserve">18. In this case, the analysis is conducted at the European, French, and, concerning the potential segment of storage and downstream transport, in eight local areas with a radius of approximately 100 to 500 kilometers where the various automotive logistics centers are concentrated in France (North; Normandy; Nantes/Saint Nazaire; South-West; Île de France; East; Lyon region; South-East).  </w:t>
        <w:br/>
        <w:t xml:space="preserve">b) Automotive Vehicle Transport Market  </w:t>
        <w:br/>
        <w:t xml:space="preserve">19. Decision-making practice considers that the markets for road freight transport and their potential segments generally have a national dimension despite a trend towards Europeanization.  </w:t>
        <w:br/>
        <w:t xml:space="preserve">III. Competitive Analysis  </w:t>
        <w:br/>
        <w:t xml:space="preserve">A. HORIZONTAL EFFECTS  </w:t>
        <w:br/>
        <w:t xml:space="preserve">1. GENERAL LOGISTICS SERVICES MARKET  </w:t>
        <w:br/>
        <w:t xml:space="preserve">20. In the market for general logistics services, the new entity will hold, according to the notifying party's estimates, a market share of less than [0-5]% at the European and French levels.  </w:t>
        <w:br/>
        <w:t xml:space="preserve">2. AUTOMOTIVE LOGISTICS SERVICES MARKET  </w:t>
        <w:br/>
        <w:t xml:space="preserve">21. In the European market for automotive logistics services, the market share of the new entity will remain below [10-20]%, regardless of the segment, except for the rail approach transport segment where it will be [20-30]% in volume. In these markets, the new entity will continue to face competition from operators such as Gefco, Groupe Charles André (hereinafter "GCA"), Mosolf, Deutsche Bahn, Tradisa, BLG, ARS Altmann, Koopman, or Frankenbach.  </w:t>
        <w:br/>
        <w:t xml:space="preserve">22. In the French market for automotive logistics services, the market share of the new entity will not exceed, according to the notifying parties, [30-40]% in value, and [20-30]% in volume with a market share increment of [5-10] points. CAT will continue to face competition from significant operators such as Gefco or GCA, which hold respectively 25 to 30% and 10 to 15% of the market share. In the scenario of a market limited to passenger vehicles and light commercial vehicles, where the activities of the parties overlap, the market share of the notifying party will not exceed [30-40]% in value and [20-30]% in volume, with a market share increment of [5-10] and [5-10] points respectively. It will continue to be exposed to competition from several players, notably Gefco (25 to 30%) and GCA (10 to 15%), as well as potential competition from European players, such as Mosolf or Tradisa, likely to enter the French market.  </w:t>
        <w:br/>
        <w:t xml:space="preserve">23. According to the segmentation by service, the market share of the new entity will not exceed [20-30]%, regardless of the activity considered, with an increment between [0-5] and [5-10] points.  </w:t>
        <w:br/>
        <w:t xml:space="preserve">24. In potential local markets for storage and downstream distribution within the French market, the activities of the parties overlap in three areas: Eastern France, the Lyon region, and South-Eastern France.  </w:t>
        <w:br/>
        <w:t xml:space="preserve">25. Regarding the Eastern and Lyon regions, the new entity will have a market share of [20-30]% and [30-40]% in volume respectively, with an increment of [5-10] and [10-20] points.  </w:t>
        <w:br/>
        <w:t xml:space="preserve">26. Regarding the South-East zone, corresponding to the area where [70-80]% of the vehicles stored in the STVA logistics center in Miramas (13 140) are distributed and including the departments of Bouches-du-Rhône, Gard, Vaucluse, Alpes de Haute Provence, Var, Hérault, and Alpes Maritime, the new entity will hold [50-60]% of storage capacities, with an increment of [20-30] points.  </w:t>
        <w:br/>
        <w:t xml:space="preserve">27. Firstly, the notifying party argues that the needs of manufacturers are detached from any constraints related to the proximity of the final recipients of the vehicles or to the maximum distance that could be traveled for the transport of a vehicle, as the choice of a logistician by the client is determined solely by the logistician's ability to carry out the transport from a point of origin to a delivery point, regardless of the internal technical modalities of organizing the service.  </w:t>
        <w:br/>
        <w:t xml:space="preserve">28. Secondly, the investigation has shown that having a storage center close to the distribution area to the end customer is not at all essential for the execution of an automotive logistics service. Indeed, it results from the investigation that some market players serve the entire French territory from a single center, sometimes located outside the national territory. Furthermore, the analysis of the distribution area of several STVA centers shows that while the majority of the distribution area of these centers generally corresponds to the bordering departments of the location, vehicles are nevertheless distributed throughout all French departments from these same centers. Moreover, some centers do not have an isometric distribution area and serve as the starting point for the delivery of vehicles in four to five discontinuous geographical areas spread across the entire national territory. Finally, some automobile manufacturers have their own storage facilities that they make available to their automotive logistics provider.  </w:t>
        <w:br/>
        <w:t>29. Thirdly, it emerges from the investigation that the activity of providing automotive logistics services, in each of its components, is not subject to any particular regulatory constraints. While this capital-intensive activity requires initial investments (truck fleet, wagons, etc.), logisticians resort to subcontracting for</w:t>
      </w:r>
    </w:p>
    <w:p>
      <w:r>
        <w:rPr>
          <w:b/>
        </w:rPr>
        <w:t>[Pages 7–9]</w:t>
      </w:r>
    </w:p>
    <w:p>
      <w:r>
        <w:t xml:space="preserve">one or more branches of the overall logistics service provided to their clients, so that they are not required to be able to carry out the entire service delivered themselves. Furthermore, the acquisition of storage space is not subject to any constraints other than the availability of land.  </w:t>
        <w:br/>
        <w:t xml:space="preserve">30. Fourthly, as indicated by the Authority in its guidelines, "the market power of a company can be effectively limited by the purchasing power or countervailing power of buyers." In this case, the majority of the competitors surveyed believe, like the notifying party, that the bargaining power of automotive logistics players against car manufacturers is weak. Moreover, the majority of clients surveyed indicate that they could easily turn to another provider in the event of price increases by the new entity.  </w:t>
        <w:br/>
        <w:t xml:space="preserve">31. Fifthly, the automotive logistics services market largely operates through calls for tenders, which have shown that they are conducted at the European or national levels for contracts lasting between 1 and 3 years. As the Authority observes in its guidelines on the control of concentrations, in such a competitive environment "an operator who has not been selected in a procedure but who remains capable of presenting a credible application continues to exert competitive pressure on the winner. The analysis of the positioning of each provider must therefore take this dynamic into account, since the losing operator today is the competitor of tomorrow. However, the market shares of providers do not allow for a proper measurement of this aspect of competitive functioning: even if the market share of a losing operator at the end of a tendering procedure remains modest, it can still exert significant competitive pressure on the contract holder during its renewal."  </w:t>
        <w:br/>
        <w:t xml:space="preserve">32. While the majority of respondents to the market test consider that the parties are close competitors in terms of offer, vehicle storage capacities, and service prices, the data collected during the investigation showed that the parties rarely bid for the same tenders and that those they lost were won by their main competitors such as Gefco, GCA, or Mosolf. Following the operation, the competitors of the new entity will be able to continue bidding for the same tenders that regularly challenge competition in these markets.  </w:t>
        <w:br/>
        <w:t xml:space="preserve">33. Regarding any potential advantage conferred by the ownership of logistics centers connected to the rail network in the same local area, the investigation showed that, for players using rail as an approach transport mode, the use of storage centers with a connection to the rail network may seem necessary to continue serving certain distribution areas without altering the overall economics of their logistics scheme.  </w:t>
        <w:br/>
        <w:t xml:space="preserve">34. The Authority thus verified whether the consolidation of several logistics centers with a connection to the rail network into a single entity could, by removing an alternative, lock competitors out of access to an input and thus lead to an increase in the cost of the service for the end customer through a conglomerate effect.  </w:t>
        <w:br/>
        <w:t xml:space="preserve">35. Thus, in the South-East region of France, corresponding to the distribution area of the STVA logistics center in Miramas, the only potentially problematic local area, STVA operates two logistics centers connected to the rail network, one in Miramas with an area of [confidential] m² and the other in Mougins (06250) with an area of [confidential] m². The CAT group operates a center in Rognac (13340) with an area of 180,000 m² and has another area of 2,000 m² in Marseille (13000). GCA has an area of [confidential] m² in the port of Fos-sur-Mer (13270). Finally, a local competitor, Nicolas Frères, has an area of 60,000 m² in Fos-sur-Mer and 30,000 m² in Marseille. In contrast, Gefco, according to the responses it provided during the market test, does not operate any storage center in the area. According to the information gathered during the investigation, Gefco maintains contractual relationships with STVA, which, as a subcontractor, ensures the downstream distribution of vehicles transported by Gefco by rail to the STVA centers in the area. The vehicles for which Gefco provides logistics occupy, according to the notifying party, [10-20]% of the area of the Mougins center and [20-30]% of that of Miramas, totaling [confidential] m². The operation results in the consolidation of [40-50]% of the storage area connected to the rail network in the South-East region, with a market share increment of [10-20] points primarily attributable to the acquisition of the CAT center in Rognac. However, the occupancy rate of the Rognac center is [90-100]% according to the notifying party. Consequently, the Rognac center, given its limited capacity and saturation, did not constitute a credible alternative to the STVA centers for a competitor such as Gefco before the operation. Thus, the operation is neutral from this perspective. Furthermore, the investigation showed that the number of centers with a connection to the rail network is not a fixed data point and that any logistics provider who feels the need to own a logistics center with a connection to the rail network can submit a project for the construction of a "branch terminal facility" to SNCF Réseau. The construction of such a facility can take several months to several years depending on the complexity of the project. Moreover, since STVA generates, according to the notifying party, [10-20]% of its turnover with Gefco, which is one of its main clients, a strategy to lock access to the storage centers of the new entity, which could cause the new entity to lose an important client for downstream transport subcontracting, is not credible. Finally, as mentioned, car manufacturers are able to turn to a competitor in the event of price increases from their automotive logistics service provider.  </w:t>
        <w:br/>
        <w:t xml:space="preserve">36. Consequently, and without the need to rule on the role of owning logistics centers connected to the rail network in assessing the market power of automotive logistics players, the operation is, in any case, not likely to harm competition through an advantage conferred by the ownership of logistics centers connected to the rail network in the same local area.  </w:t>
        <w:br/>
        <w:t xml:space="preserve">37. In light of the above, the operation is not likely to harm competition through horizontal effects in the automotive logistics services markets.  </w:t>
        <w:br/>
        <w:t xml:space="preserve">3. AUTOMOTIVE VEHICLE TRANSPORT MARKET  </w:t>
        <w:br/>
        <w:t xml:space="preserve">38. In the European and French markets for automotive vehicle transport, the market share of the new entity will not exceed [10-20]%, regardless of the segmentation considered, with an increment between [0-5] and [5-10] points.  </w:t>
        <w:br/>
        <w:t>39. Consequently, the operation is not likely to harm competition through horizontal effects in the automotive vehicle transport markets.</w:t>
      </w:r>
    </w:p>
    <w:p>
      <w:r>
        <w:t xml:space="preserve">B. VERTICAL EFFECTS  </w:t>
        <w:br/>
        <w:t xml:space="preserve">40. The operation results in a vertical strengthening of the new entity insofar as the parties are active in the national and European markets for automotive logistics as well as in the national and European markets for automotive vehicle transport. However, it should be recalled that the decision-making practice of competition authorities generally considers that a risk of vertical effect can be ruled out as long as the market share of the company resulting from the operation in the relevant markets does not exceed 30%.  </w:t>
        <w:br/>
        <w:t xml:space="preserve">41. In this case, according to the estimates of the notifying party, the market share of the new entity is below 30% both in the market for automotive logistics services and in the market for automotive vehicle transport, regardless of the segmentation considered. The new entity will also continue to face competitive pressure from numerous players, carriers, or logisticians.  </w:t>
        <w:br/>
        <w:t xml:space="preserve">42. The operation is therefore not likely to harm competition through vertical effects.  </w:t>
        <w:br/>
        <w:t>43. It follows from all these elements that the notified operation is not likely to harm competition in all the relevant markets.</w:t>
      </w:r>
    </w:p>
    <w:p>
      <w:r>
        <w:t xml:space="preserve">DECIDES  </w:t>
        <w:br/>
        <w:t xml:space="preserve">Sole Article: The operation notified under number 17-125 is authorized.  </w:t>
        <w:br/>
        <w:t xml:space="preserve">The President,  </w:t>
        <w:br/>
        <w:t xml:space="preserve">Isabelle de Silva  </w:t>
        <w:br/>
        <w:t xml:space="preserve">© Competition Authority  </w:t>
        <w:br/>
        <w:t>12 Except for the French market for automotive logistics services for passenger and light commercial vehicles where it may reach up to [30-40]% in volume (see paragraph 22 of this decision). This limited exceedance, in a relatively unimportant segment, does not undermine the analysis. Furthermore, this exceedance should be put into perspective, as it corresponds to the most conservative assumption of the notifying party's estimates based on a market definition that does not include heavy vehicles.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