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https://www.autoritedelaconcurrence.fr/fr/decision-de-controle-des-concentrations/relative-la-prise-de-controle-exclusif-de-la-societe-sud-0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26-DCC-30 of January 26, 2026  </w:t>
        <w:br/>
        <w:t xml:space="preserve">regarding the exclusive control acquisition of the company Sud Loire Motors  </w:t>
        <w:br/>
        <w:t xml:space="preserve">by the company GCA Investissements  </w:t>
        <w:br/>
        <w:t xml:space="preserve">The Competition Authority,  </w:t>
        <w:br/>
        <w:t xml:space="preserve">Having regard to the complete notification file sent to the mergers department on January 9, 2026,  </w:t>
        <w:br/>
        <w:t xml:space="preserve">concerning the exclusive control acquisition of the company Sud Loire Motors by the company  </w:t>
        <w:br/>
        <w:t xml:space="preserve">GCA Investissements, holding of the GCA group, formalized by a letter of intent dated  </w:t>
        <w:br/>
        <w:t xml:space="preserve">December 23,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GCA Investissements, holding of  </w:t>
        <w:br/>
        <w:t xml:space="preserve">the GCA group, of 100% of the shares of the company Sud Loire Motors, which is active in the  </w:t>
        <w:br/>
        <w:t xml:space="preserve">automobile distribution sector through its main establishment (KIA BLOIS) located  </w:t>
        <w:br/>
        <w:t xml:space="preserve">in Saint-Gervais-La-Forêt (41) and its two secondary establishments (KIA CHAMBRAY-  </w:t>
        <w:br/>
        <w:t xml:space="preserve">LES-TOURS and KIA SAINT-CYR), respectively located in Chambray-les-Tours (37) and in  </w:t>
        <w:br/>
        <w:t xml:space="preserve">Saint-Cyr-sur-Loire (37). This operation constitutes a concentration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26-009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