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https://www.autoritedelaconcurrence.fr/fr/decision-de-controle-des-concentrations/relative-la-prise-de-controle-exclusif-de-la-societe-sud-1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26-DCC-112 of May 4, 2026</w:t>
        <w:br/>
        <w:t>regarding the exclusive control acquisition of the company Sud Auto</w:t>
        <w:br/>
        <w:t>by the company Financière Maurel</w:t>
        <w:br/>
        <w:t>The Competition Authority,</w:t>
        <w:br/>
        <w:t>Having regard to the complete notification file submitted to the mergers department on April 7, 2026,</w:t>
        <w:br/>
        <w:t>concerning the exclusive control acquisition of the company Sud Auto by the company Financière Maurel,</w:t>
        <w:br/>
        <w:t>formalized by a letter of intent signed on March 20, 2026;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Financière Maurel,</w:t>
        <w:br/>
        <w:t>the parent company of the Maurel group, of the company Sud Auto, which is active in the automobile</w:t>
        <w:br/>
        <w:t>distribution sector in the cities of Revel (31), Castres (81), and Mazamet (81). The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jurisdiction of the European Union. On the other hand, the control thresholds mentioned in II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26-093 is authorized.</w:t>
        <w:br/>
        <w:t>The Vice-President,</w:t>
        <w:br/>
        <w:t>Thibaud Vergé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