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https://www.autoritedelaconcurrence.fr/fr/decision-de-controle-des-concentrations/relative-la-prise-de-controle-exclusif-de-la-societe-sud</w:t>
      </w:r>
    </w:p>
    <w:p>
      <w:r>
        <w:t>Pages translated : 2</w:t>
      </w:r>
    </w:p>
    <w:p/>
    <w:p>
      <w:r>
        <w:rPr>
          <w:b/>
        </w:rPr>
        <w:t>[Pages 1–2]</w:t>
      </w:r>
    </w:p>
    <w:p>
      <w:r>
        <w:t>FRENCH REPUBLIC</w:t>
        <w:br/>
        <w:t>Decision No. 21-DCC-08 of January 13, 2021</w:t>
        <w:br/>
        <w:t>regarding the exclusive control acquisition of the company Sud Loire Auto by</w:t>
        <w:br/>
        <w:t>the company Forza Automobiles</w:t>
        <w:br/>
        <w:t>The Competition Authority,</w:t>
        <w:br/>
        <w:t>Having regard to the notification file sent on December 8, 2020, to the mergers department and declared complete on December 24, 2020, concerning the exclusive control acquisition of the company Sud Loire Auto by the company Forza Automobiles, formalized by a letter of intent dated November 27, 2020;</w:t>
        <w:br/>
        <w:t>Having regard to Book IV of the Commercial Code relating to the freedom of prices and competition, and in particular its Articles L. 430-1 to L. 430-7;</w:t>
        <w:br/>
        <w:t>Having regard to the elements provided by the notifying party during the investigation;</w:t>
        <w:br/>
        <w:t>Adopts the following decision:</w:t>
        <w:br/>
        <w:t>1. The notified operation consists of the exclusive control acquisition by the company Forza Automobiles, a subsidiary of the company BPM Group, of the company Sud Loire Auto, which operates car dealerships under the brands Alfa Romeo, Fiat, Fiat Professional, Jeep, and Suzuki in Cher (18) and Loiret (45). It constitutes a concentration operation within the meaning of Article L. 430-1 of the Commercial Code. Given the turnover achieved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20-259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