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https://www.autoritedelaconcurrence.fr/fr/decision-de-controle-des-concentrations/relative-la-prise-de-controle-exclusif-de-la-societe-sushi</w:t>
      </w:r>
    </w:p>
    <w:p>
      <w:r>
        <w:t>Pages translated : 6</w:t>
      </w:r>
    </w:p>
    <w:p/>
    <w:p>
      <w:r>
        <w:rPr>
          <w:b/>
        </w:rPr>
        <w:t>[Pages 1–3]</w:t>
      </w:r>
    </w:p>
    <w:p>
      <w:r>
        <w:t xml:space="preserve">FRENCH REPUBLIC  </w:t>
        <w:br/>
        <w:t xml:space="preserve">Decision No. 18-DCC-172 of October 18, 2018  </w:t>
        <w:br/>
        <w:t xml:space="preserve">regarding the exclusive control of Sushi Shop Group  </w:t>
        <w:br/>
        <w:t>by AmRest Holdings</w:t>
      </w:r>
    </w:p>
    <w:p>
      <w:r>
        <w:t xml:space="preserve">The Competition Authority,  </w:t>
        <w:br/>
        <w:t xml:space="preserve">Having regard to the notification file submitted in full to the merger service on September 24, 2018, regarding the exclusive control of Sushi Shop Group by AmRest Holdings SE, formalized by an acquisition contract signed on July 27, 2018;  </w:t>
        <w:br/>
        <w:t xml:space="preserve">Having regard to Book IV of the Commercial Code relating to price freedom and competition, and in particular Articles L. 430-1 to L. 430-7;  </w:t>
        <w:br/>
        <w:t xml:space="preserve">Having regard to the supplementary elements transmitted by the notifying party during the investigation;  </w:t>
        <w:br/>
        <w:t>Adopts the following decision:</w:t>
      </w:r>
    </w:p>
    <w:p>
      <w:r>
        <w:t xml:space="preserve">I. The companies concerned and the transaction  </w:t>
        <w:br/>
        <w:t xml:space="preserve">1. AmRest Holdings (hereinafter "AmRest") operates restaurants primarily in Europe, under the brands KFC, Starbucks, Pizza Hut, Burger King, La Tagliatella, Blue Frog, KABB, BACOA, and Stubb's. In France, AmRest owns 48 KFC restaurants, 42 of which were acquired at the end of 2017, and plans to acquire 15 more within the year. AmRest also operates 8 La Tagliatella restaurants and 122 Pizza Hut restaurants, of which 8 are owned and 114 are franchised, with AmRest being the exclusive master franchisee of Pizza Hut for France. AmRest is ultimately controlled by the investment group Finaccess.  </w:t>
        <w:br/>
        <w:t xml:space="preserve">2. Sushi Shop Group (hereinafter "Sushi Shop") is the founder of the Sushi Shop restaurant chain, specializing in sushi, sashimi, and other Japanese specialties, primarily present in France through 118 restaurants. 86 restaurants are owned by Sushi Shop and 32 are operated by franchisees. Sushi Shop also has 30 corners in stores under the Leclerc and Monoprix brands for takeaway sales.  </w:t>
        <w:br/>
        <w:t>1 Sushi Shop operates 165 restaurants worldwide.</w:t>
      </w:r>
    </w:p>
    <w:p>
      <w:r>
        <w:t xml:space="preserve">3. The transaction, formalized by a promise to purchase dated July 24, 2018, and then by an acquisition contract dated July 27, 2018, involves the acquisition by AmRest of all shares and voting rights of Sushi Shop Group. As it results in the exclusive control of the Sushi Shop group by AmRest, the transaction constitutes a concentration within the meaning of Article L. 430-1 of the Commercial Code.  </w:t>
        <w:br/>
        <w:t>4. The companies concerned together achieve a total worldwide turnover excluding taxes of more than 150 million euros (AmRest: approximately 1.4 billion euros for the fiscal year ending December 31, 2017; Sushi Shop: 129.9 million euros for the same fiscal year). Each of these companies has achieved a turnover in France exceeding 50 million euros (AmRest: [&gt; 50 million] euros for the fiscal year ending December 31, 2017; Sushi Shop: [&gt; 50 million] euros for the same fiscal year). Given these turnover figures,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concentrations.</w:t>
      </w:r>
    </w:p>
    <w:p>
      <w:r>
        <w:t xml:space="preserve">II. Delimitation of relevant markets  </w:t>
        <w:br/>
        <w:t xml:space="preserve">5. The parties are simultaneously active in the commercial catering sector and, upstream, in the markets for the supply of food products.  </w:t>
        <w:br/>
        <w:t xml:space="preserve">A. UPSTREAM MARKETS FOR THE SUPPLY OF FOOD PRODUCTS  </w:t>
        <w:br/>
        <w:t xml:space="preserve">1. PRODUCT MARKETS  </w:t>
        <w:br/>
        <w:t xml:space="preserve">6. There are as many markets for the supply of food products as there are groups of products. Regarding fresh food products, the following are distinguished: dairy products, delicatessen and catering products, seafood, fruits and vegetables, and meat products. The Competition Authority has also identified a distinct supply market for frozen products and ice creams and has considered, within this, a specific market for the supply of ice creams, frozen desserts, and sorbets.  </w:t>
        <w:br/>
        <w:t xml:space="preserve">7. European decision-making practice has also considered a segmentation of upstream supply markets based on distribution channels. The European Commission notes that "there are serious indications to suggest that certain supply markets can also be defined based on distribution channels, such that the supply of the retail sector with a focus on food could constitute an independent market." The Competition Authority has thus distinguished markets for the supply of frozen products intended for out-of-home catering ("RHD").  </w:t>
        <w:br/>
        <w:t xml:space="preserve">8. The question of the exact delimitation of these product markets may, however, remain open insofar as the conclusions of the competitive analysis remain unchanged, regardless of the segmentations considered.  </w:t>
        <w:br/>
        <w:t xml:space="preserve">2. GEOGRAPHIC MARKETS  </w:t>
        <w:br/>
        <w:t xml:space="preserve">9. The decision-making practice of competition authorities considers that upstream markets for the supply of food products are of national dimension. The competition authorities indeed observe that consumer preferences, tastes, and eating habits, price differences, variations in market shares held by major operators according to member states, and the presence of manufacturer or distributor brands marketed only nationally do not allow for a European dimension of the market to be retained.  </w:t>
        <w:br/>
        <w:t xml:space="preserve">10. There is no need to challenge this geographical delimitation in the present case.  </w:t>
        <w:br/>
        <w:t xml:space="preserve">B. DOWNSTREAM MARKETS OF COMMERCIAL CATERING  </w:t>
        <w:br/>
        <w:t xml:space="preserve">1. SERVICE MARKETS  </w:t>
        <w:br/>
        <w:t xml:space="preserve">11. Within commercial catering, the decision-making practice of competition authorities distinguishes between (i) the market for low-cost fast food (which includes "fast foods," "self-services," and takeaway/home delivery) and (ii) that of more sophisticated catering including, in particular, table service.  </w:t>
        <w:br/>
        <w:t>12. The European Commission has considered retaining a market for "grab-and-go" catering including fast food establishments (belonging to a chain or independent), pizzerias, cafés, coffee shops, sandwich shops, and takeaway and home delivery brands. While leaving the question open, it has also distinguished between chain restaurants and independents.</w:t>
      </w:r>
    </w:p>
    <w:p>
      <w:r>
        <w:rPr>
          <w:b/>
        </w:rPr>
        <w:t>[Pages 4–6]</w:t>
      </w:r>
    </w:p>
    <w:p>
      <w:r>
        <w:t>The European Commission noted in this regard that large chains offer a guarantee of notoriety, particularly in terms of quality of service and consistency in menus, regardless of location, whereas independents offer a more personalized service and more flexibility.</w:t>
      </w:r>
    </w:p>
    <w:p>
      <w:r>
        <w:t>13. The European Commission also questioned the existence of a distinct market for fast food practicing "home delivery/takeaway."</w:t>
      </w:r>
    </w:p>
    <w:p>
      <w:r>
        <w:t>14. Furthermore, a distinction between (i) so-called "Anglo-Saxon" fast food, (ii) "French-style" fast food (sandwiches), and (iii) themed fast food (sushi, organic, Italian specialties, etc.) is recognized in several economic studies.</w:t>
      </w:r>
    </w:p>
    <w:p>
      <w:r>
        <w:t>15. The question of the exact delimitation of these service markets may, however, remain open insofar as the conclusions of the competitive analysis remain unchanged, regardless of the segmentations considered.</w:t>
      </w:r>
    </w:p>
    <w:p>
      <w:r>
        <w:t>16. In this case, given the activities of the parties, the analysis will be conducted on the markets of commercial catering on the go, themed fast food, and fast food practicing home delivery or takeaway.</w:t>
      </w:r>
    </w:p>
    <w:p>
      <w:r>
        <w:t>2. GEOGRAPHIC MARKETS</w:t>
      </w:r>
    </w:p>
    <w:p>
      <w:r>
        <w:t>17. Competition in the markets of commercial catering operates in local catchment areas, corresponding in practice to an agglomeration, within which the consumer compares the different offers available to them. However, decision-making practice also considers that these markets can have a national dimension, at which level the establishment strategies and advertising policies of large brands are defined.</w:t>
      </w:r>
    </w:p>
    <w:p>
      <w:r>
        <w:t>18. Regarding local analyses, catchment areas are generally defined by:</w:t>
        <w:br/>
        <w:t>- a walking travel time of ten minutes for restaurants located within Paris and in the ten most populous cities in France (Bordeaux, Nantes, Rennes, Lille, Strasbourg, Marseille, Toulouse, Nice, Montpellier, and Lyon);</w:t>
        <w:br/>
        <w:t>- a driving travel time of ten minutes for restaurants located in the rest of France (excluding Corsica);</w:t>
        <w:br/>
        <w:t>- a driving travel time of thirty minutes for restaurants located in Corsica.</w:t>
      </w:r>
    </w:p>
    <w:p>
      <w:r>
        <w:t>19. The question of the exact delimitation of geographic markets may, however, remain open insofar as the conclusions of the competitive analysis remain unchanged regardless of the segmentations considered.</w:t>
      </w:r>
    </w:p>
    <w:p>
      <w:r>
        <w:t>12 See notably decision No. 15-DCC-170 mentioned above.</w:t>
      </w:r>
    </w:p>
    <w:p>
      <w:r>
        <w:t>13 See notably decisions No. 10-DCC-94 and No. 11-DCC-137 mentioned above.</w:t>
      </w:r>
    </w:p>
    <w:p>
      <w:r>
        <w:t>14 Ibid.</w:t>
      </w:r>
    </w:p>
    <w:p>
      <w:r>
        <w:t>15 See notably decision No. 17-DCC-63 mentioned above.</w:t>
      </w:r>
    </w:p>
    <w:p>
      <w:r>
        <w:t>III. Competitive Analysis</w:t>
      </w:r>
    </w:p>
    <w:p>
      <w:r>
        <w:t>A. ON MARKET SHARE ESTIMATES</w:t>
      </w:r>
    </w:p>
    <w:p>
      <w:r>
        <w:t>20. At the national level, the notifying party indicated that it was unable to determine the total value of the French market for purchases for each product market but provided an estimate of its market share.</w:t>
      </w:r>
    </w:p>
    <w:p>
      <w:r>
        <w:t>21. Regarding the markets of commercial catering, the estimation of market shares is hindered by the unavailability of turnover figures achieved by the competing establishments of the parties in each area, either because they are independent stores that are not required to file their annual accounts, or because they are non-public data.</w:t>
      </w:r>
    </w:p>
    <w:p>
      <w:r>
        <w:t>22. Given these methodological difficulties, local market shares have therefore been estimated by accounting for the points of sale of the main operators present in each area concerned by an overlap of activities between the parties.</w:t>
      </w:r>
    </w:p>
    <w:p>
      <w:r>
        <w:t>B. UPSTREAM MARKETS FOR THE SUPPLY OF FOOD PRODUCTS</w:t>
      </w:r>
    </w:p>
    <w:p>
      <w:r>
        <w:t>23. The notifying party estimates that the market shares of the new entity are below 5% in the upstream markets for the supply of food products, regardless of the segmentation retained.</w:t>
      </w:r>
    </w:p>
    <w:p>
      <w:r>
        <w:t>24. Consequently, the transaction is not likely to harm competition in the markets for the supply of food products.</w:t>
      </w:r>
    </w:p>
    <w:p>
      <w:r>
        <w:t>C. DOWNSTREAM MARKETS OF COMMERCIAL CATERING</w:t>
      </w:r>
    </w:p>
    <w:p>
      <w:r>
        <w:t>25. AmRest is active in the "low-cost fast food" commercial catering market, through the KFC and Pizza Hut brands. AmRest is also active in the sophisticated catering segment, through its restaurants operated under the La Tagliatella brand.</w:t>
      </w:r>
    </w:p>
    <w:p>
      <w:r>
        <w:t>26. Regarding the commercial catering model offered by Sushi Shop, the notifying party considers that, while the brand falls under fast food, it cannot be classified as low-cost catering. The transaction therefore results in an overlap of activities between the parties in the overall on-the-go catering segment.</w:t>
      </w:r>
    </w:p>
    <w:p>
      <w:r>
        <w:t>27. Furthermore, the proposed transaction is likely to have effects on the segments of themed fast food and home delivery or takeaway.</w:t>
      </w:r>
    </w:p>
    <w:p>
      <w:r>
        <w:t>1. AT THE NATIONAL LEVEL</w:t>
      </w:r>
    </w:p>
    <w:p>
      <w:r>
        <w:t>28. According to the notifying party, the market share of the new entity remains below 1%, regardless of the segmentation considered.</w:t>
      </w:r>
    </w:p>
    <w:p>
      <w:r>
        <w:t>29. The transaction is therefore not likely to harm competition in the markets of commercial catering at the national level.</w:t>
      </w:r>
    </w:p>
    <w:p>
      <w:r>
        <w:t>2. AT THE LOCAL LEVEL</w:t>
      </w:r>
    </w:p>
    <w:p>
      <w:r>
        <w:t>30. The activities of the parties overlap in 67 catchment areas (23 in large agglomerations and 44 in the rest of France).</w:t>
      </w:r>
    </w:p>
    <w:p>
      <w:r>
        <w:t>31. Regardless of the segmentation retained, in each of the identified areas, the estimated market share of the new entity will be below 15%.</w:t>
      </w:r>
    </w:p>
    <w:p>
      <w:r>
        <w:t>32. Indeed, the markets of commercial catering are generally very fragmented, and the parties, while they have well-known brands, still face many competitors for each type of catering offered to consumers (on-the-go, low-cost, themed fast food, home delivery, or takeaway). Thus, the new entity will face competition from many well-known brands, such as Planet Sushi, Domino’s Pizza, Subway, or McDonald’s.</w:t>
      </w:r>
    </w:p>
    <w:p>
      <w:r>
        <w:t>33. The examination of the effects of the transaction at the local level has thus shown that consumers will have a wide range of alternative choices in commercial catering in each of the overlapping activity areas between the parties, capable of meeting their preferences and budget.</w:t>
      </w:r>
    </w:p>
    <w:p>
      <w:r>
        <w:t>34. Given the above, the transaction is not likely to harm competition in the markets of commercial catering.</w:t>
      </w:r>
    </w:p>
    <w:p>
      <w:r>
        <w:t>DECIDES</w:t>
      </w:r>
    </w:p>
    <w:p>
      <w:r>
        <w:t>Sole Article: The transaction notified under number 18-186 is authorized.</w:t>
      </w:r>
    </w:p>
    <w:p>
      <w:r>
        <w:t>The Vice-President,</w:t>
        <w:br/>
        <w:t>Thierry Dahan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