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https://www.autoritedelaconcurrence.fr/fr/decision-de-controle-des-concentrations/relative-la-prise-de-controle-exclusif-de-la-societe-swa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22-DCC-243 of December 14, 2022  </w:t>
        <w:br/>
        <w:t xml:space="preserve">regarding the exclusive control acquisition of the company SWA by  </w:t>
        <w:br/>
        <w:t xml:space="preserve">the company Car Avenue France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10, 2022, concerning the exclusive control acquisition of the company SWA by the  </w:t>
        <w:br/>
        <w:t xml:space="preserve">company Car Avenue France formalized by a transfer agreement protocol dated  </w:t>
        <w:br/>
        <w:t xml:space="preserve">September 16,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Car Avenue France  </w:t>
        <w:br/>
        <w:t xml:space="preserve">of the company SWA, which operates car dealerships under the Fiat and Kia brands in  </w:t>
        <w:br/>
        <w:t xml:space="preserve">Lexy (54), Thionville (57), and Woippy (57). It constitutes a concentration operation within  </w:t>
        <w:br/>
        <w:t xml:space="preserve">the meaning of Article L. 430-1 of the Commercial Code. Given the turnover generated  </w:t>
        <w:br/>
        <w:t xml:space="preserve">by the companies concerned, the operation does not fall under the jurisdiction of  </w:t>
        <w:br/>
        <w:t xml:space="preserve">the European Union. However, the retail control thresholds mentioned in II of Article L. 430-2 of the Commercial Code are exceeded. This operation  </w:t>
        <w:br/>
        <w:t xml:space="preserve">is 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22-287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