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https://www.autoritedelaconcurrence.fr/fr/decision-de-controle-des-concentrations/relative-la-prise-de-controle-exclusif-de-la-societe-systra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24-DCC-168 of July 23, 2024  </w:t>
        <w:br/>
        <w:t xml:space="preserve">regarding the exclusive control acquisition of the company Systra by the company  </w:t>
        <w:br/>
        <w:t xml:space="preserve">Latour Capital Management  </w:t>
        <w:br/>
        <w:t xml:space="preserve">The Competition Authority,  </w:t>
        <w:br/>
        <w:t xml:space="preserve">Having regard to the complete notification file sent to the mergers department on July 3, 2024,  </w:t>
        <w:br/>
        <w:t xml:space="preserve">concerning the exclusive control acquisition of the company Systra by the company Latour Capital  </w:t>
        <w:br/>
        <w:t xml:space="preserve">Management formalized by the signing of a put option on April 27, 2024, to which a draft share transfer agreement of Systra and a draft shareholders' agreement were annexed;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Latour Capital Management of approximately 58.2% of the capital and voting rights of Systra, which is active in the engineering services sector for railway and transport infrastructures. The operation constitutes a concentration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24-168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