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https://www.autoritedelaconcurrence.fr/fr/decision-de-controle-des-concentrations/relative-la-prise-de-controle-exclusif-de-la-societe-talan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20-DCC-127 of September 16, 2020  </w:t>
        <w:br/>
        <w:t xml:space="preserve">regarding the exclusive control acquisition of the company Talan Corporate  </w:t>
        <w:br/>
        <w:t xml:space="preserve">by the company TowerBrook Capital Partners  </w:t>
        <w:br/>
        <w:t xml:space="preserve">The Competition Authority,  </w:t>
        <w:br/>
        <w:t xml:space="preserve">Having regard to the notification file submitted in full to the mergers department on August 31, 2020,  </w:t>
        <w:br/>
        <w:t xml:space="preserve">concerning the exclusive control acquisition of the company Talan Corporate by the company TowerBrook  </w:t>
        <w:br/>
        <w:t xml:space="preserve">Capital Partners, formalized by a share transfer agreement dated August 1,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company Talan Corporate,  </w:t>
        <w:br/>
        <w:t xml:space="preserve">a holding of the Talan group, active in the digital services sector, by the company  </w:t>
        <w:br/>
        <w:t xml:space="preserve">TowerBrook Capital Partners.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point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20-156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