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https://www.autoritedelaconcurrence.fr/fr/decision-de-controle-des-concentrations/relative-la-prise-de-controle-exclusif-de-la-societe-talpi</w:t>
      </w:r>
    </w:p>
    <w:p>
      <w:r>
        <w:t>Pages translated : 2</w:t>
      </w:r>
    </w:p>
    <w:p/>
    <w:p>
      <w:r>
        <w:rPr>
          <w:b/>
        </w:rPr>
        <w:t>[Pages 1–2]</w:t>
      </w:r>
    </w:p>
    <w:p>
      <w:r>
        <w:t>FRENCH REPUBLIC</w:t>
        <w:br/>
        <w:t>Decision No. 13-DCC-155 of October 30, 2013</w:t>
        <w:br/>
        <w:t>regarding the exclusive control acquisition of the company Talpi by the ITM Alimentaire Centre Ouest group.</w:t>
        <w:br/>
        <w:t>The Competition Authority,</w:t>
        <w:br/>
        <w:t>Having regard to the notification file sent to the mergers department on September 26, 2013, and declared complete on October 22, 2013, concerning the exclusive control acquisition of the company Talpi by the company ITM Alimentaire Ouest, materialized by a share transfer agreement dated October 11, 2013;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Talpi, operating a retail outlet predominantly selling food, under the Intermarché brand, in Châtellerault, by the company ITM Alimentaire Centre Ouest. This operation constitutes a concentration within the meaning of Article L. 430-1 of the Commercial Code. Given the turnover achieved by the companies concerned,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13-168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