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https://www.autoritedelaconcurrence.fr/fr/decision-de-controle-des-concentrations/relative-la-prise-de-controle-exclusif-de-la-societe-tatex</w:t>
      </w:r>
    </w:p>
    <w:p>
      <w:r>
        <w:t>Pages translated : 4</w:t>
      </w:r>
    </w:p>
    <w:p/>
    <w:p>
      <w:r>
        <w:rPr>
          <w:b/>
        </w:rPr>
        <w:t>[Pages 1–3]</w:t>
      </w:r>
    </w:p>
    <w:p>
      <w:r>
        <w:t xml:space="preserve">FRENCH REPUBLIC  </w:t>
        <w:br/>
        <w:t xml:space="preserve">Decision No. 12-DCC-90 of June 25, 2012  </w:t>
        <w:br/>
        <w:t xml:space="preserve">regarding the exclusive control of the company Tatex SAS by the  </w:t>
        <w:br/>
        <w:t xml:space="preserve">company Fedex Corporation  </w:t>
        <w:br/>
        <w:t xml:space="preserve">The Competition Authority,  </w:t>
        <w:br/>
        <w:t xml:space="preserve">Having regard to the notification file submitted in full to the merger service on May 18, 2012,  </w:t>
        <w:br/>
        <w:t xml:space="preserve">regarding the exclusive control of the company Tatex SAS by the company Fedex Corporation  </w:t>
        <w:br/>
        <w:t xml:space="preserve">formalized by a share transfer agreement dated May 9, 2012;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Fedex Corporation (hereinafter "Fedex") is a company active in the sectors of  </w:t>
        <w:br/>
        <w:t xml:space="preserve">transport services, e-commerce, and commercial services. Fedex is listed on the New York Stock Exchange. Its main shareholders are Primecap Management Company, holding 6.67% of the capital, Mr. Frederick W. Smith (6.25%), and Dodge &amp; Cox (6.20%). None of the shareholders holds a majority of voting rights or a blocking minority, and there is no shareholders' agreement. Fedex is therefore not subject to any control.  </w:t>
        <w:br/>
        <w:t>Fedex offers international delivery services and deferred freight shipping in more than 22 countries. It has approximately 57,000 drop-off locations, 688 aircraft, 10 air hubs, and 50,000 vehicles and trailers. Fedex's delivery services primarily concern BtoB shipments (from businesses to businesses) and to a lesser extent BtoC shipments (from businesses to individuals). In France, Fedex offers import and export services for express parcel delivery through its subsidiary Federal Express International. Fedex also provides international freight forwarding services for air and sea transport. Finally, Fedex provides an international air freight service.</w:t>
      </w:r>
    </w:p>
    <w:p>
      <w:r>
        <w:t xml:space="preserve">2. Tatex is a company specializing in express parcel delivery BtoB, primarily active in France. Its capital is currently held at 84% by the company Xaap Finances and 12.5% by PGLP Invest (the remaining capital being held by its executives). It has a 99% subsidiary, the company Tatex Belgium, with the remainder held by Xaap Finances. Tatex operates an integrated national network covering all of France, comprising 35 agencies, a network of 7 regional transit centers, and a central hub located in the Paris region. Tatex delivers approximately 18 million parcels per year and has a fleet of 415 vehicles. Additionally, Tatex has developed a BtoC offering and is currently developing a CtoC service line (from individuals to individuals).  </w:t>
        <w:br/>
        <w:t xml:space="preserve">3. Under the share transfer agreement dated May 9, 2012, the operation consists of  </w:t>
        <w:br/>
        <w:t xml:space="preserve">the acquisition by Fedex of 100% of the capital and voting rights of Tatex and 1% of the capital  </w:t>
        <w:br/>
        <w:t xml:space="preserve">and voting rights of Tatex Belgium.  </w:t>
        <w:br/>
        <w:t xml:space="preserve">4. As it results in the exclusive control of Tatex by Fedex, the notified operation constitutes a concentration within the meaning of Article L. 430-1 of the Commercial Code.  </w:t>
        <w:br/>
        <w:t xml:space="preserve">5. The concerned companies together achieve a total worldwide turnover of more than 150 million euros (Fedex: 30.33 billion euros for the fiscal year ending December 31, 2011; Tatex: 150 million euros for the same fiscal year). Each of these companies has achieved, in France, a turnover exceeding 50 million euros (Fedex: […] million euros for the fiscal year ending December 31, 2011; Tatex: […] million euros for the same fiscal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activities of the parties overlap in the express parcel delivery market. Fedex is also present in the air freight and transport forwarding markets. However, given the marginal nature of its market shares (less than [0-5]%), the operation does not pose any risk of harm to competition through vertical effects. Consequently, these markets will not be subject to specific competitive analysis.  </w:t>
        <w:br/>
        <w:t xml:space="preserve">1. SERVICE MARKETS  </w:t>
        <w:br/>
        <w:t xml:space="preserve">7. The delivery activity consists of the transportation of documents or parcels weighing less than 3 tons, coming from various shippers and addressed to different recipients1. It is distinguished from traditional transport due to intermediate operations of sorting, grouping, and ungrouping, which involve combining or splitting shipments of goods from multiple senders to multiple recipients.  </w:t>
        <w:br/>
        <w:t>1 Letter from the Minister of Economy, Finance and Employment C 2007-70 of July 4, 2007, regarding a concentration in the road freight transport sector.</w:t>
      </w:r>
    </w:p>
    <w:p>
      <w:r>
        <w:t xml:space="preserve">8. Within this activity, competition authorities2 operate a segmentation between documents and parcels. The parties offer only parcel delivery services, an activity for which different segmentations have been considered. Indeed, besides the distinction between national and international delivery3, the Competition Authority4 distinguishes three types of services: traditional delivery (delivery time of 24 to 72 hours within the national territory), fast delivery (pickup before 6 PM for delivery in principle the next day before 6 PM within the national territory but the times are not guaranteed), and express delivery (pickup before 6 PM for delivery the next day before 12 or 1 PM within the national territory with different levels of guarantee on the times and a possibility of tracking by the customer).  </w:t>
        <w:br/>
        <w:t xml:space="preserve">9. Furthermore, competition authorities5 distinguish between delivery activities from professionals to professionals ("BtoB"), from professionals to individuals ("BtoC"), from individuals to professionals ("CtoB"), and between individuals ("CtoC"). For domestic express parcel delivery BtoB, several segmentations can be considered, depending on the type of parcel (single parcel or multiple parcels6) or according to the weight of the parcels (more or less than 30 kg).  </w:t>
        <w:br/>
        <w:t xml:space="preserve">10. The question of market segmentation can, however, be left open in this case, as, regardless of the hypothesis retained, the conclusions of the competitive analysis will remain unchanged.  </w:t>
        <w:br/>
        <w:t xml:space="preserve">2. GEOGRAPHICAL MARKETS  </w:t>
        <w:br/>
        <w:t xml:space="preserve">11. Regarding the geographical dimension of these markets, French7 and European8 decision-making practice has considered that the road freight transport market and its segmentations generally have a national dimension and are evolving towards a European dimension9.  </w:t>
        <w:br/>
        <w:t xml:space="preserve">12. There is no need to challenge this delimitation in the present decision.  </w:t>
        <w:br/>
        <w:t xml:space="preserve">2 See notably the letter from the Minister of Economy, Finance and Industry C 2006-14 of March 2, 2006, regarding a concentration in the express delivery sector and the decisions of the European Commission COMP/M.3925 UPS / LYNX of September 23, 2005 and COMP/M.5152 Posten AB/Post Danmark A/S of April 21, 2009.  </w:t>
        <w:br/>
        <w:t xml:space="preserve">3 See notably the decision of the Commission COMP/M.5152 mentioned above and the decisions of the Authority 09-DCC-40 and 10-DCC-26 mentioned above.  </w:t>
        <w:br/>
        <w:t xml:space="preserve">4 See the decisions of the Competition Authority 09-DCC-40 of September 4, 2009, regarding the acquisition by Geodis of Cool Jet commercial agencies and 10-DCC-26 of March 26, 2010, regarding the acquisition by Geodis of Ciblex and the decision of the European Commission COMP/M. 1405, TNT Post Group/ JET Services of February 15, 1999.  </w:t>
        <w:br/>
        <w:t xml:space="preserve">5 See notably the decisions of the Commission COMP/M.1371 La Poste /Denkhaus of February 26, 1999 and COMP/M.5152 mentioned above and the decision of the Authority 10-DCC-26 mentioned above.  </w:t>
        <w:br/>
        <w:t xml:space="preserve">6 See notably the decision of the Commission COMP/M.1371 mentioned above and the letter from the Minister C 2006-14 mentioned above.  </w:t>
        <w:br/>
        <w:t xml:space="preserve">7 See notably the decisions of the Authority 09-DCC-40 and 10-DCC-26 mentioned above.  </w:t>
        <w:br/>
        <w:t xml:space="preserve">8 See notably the decisions of the Commission COMP/M.1371 and COMP/M.1405 mentioned above.  </w:t>
        <w:br/>
        <w:t>9 See notably the decisions of the Authority 09-DCC-74 and 09-DCC-13 mentioned above and the decision COMP/M. 5877 mentioned above.</w:t>
      </w:r>
    </w:p>
    <w:p>
      <w:r>
        <w:rPr>
          <w:b/>
        </w:rPr>
        <w:t>[Pages 4–4]</w:t>
      </w:r>
    </w:p>
    <w:p>
      <w:r>
        <w:t xml:space="preserve">III. Competitive Analysis  </w:t>
        <w:br/>
        <w:t xml:space="preserve">13. The parties are simultaneously active in the international express parcel delivery market. They are primarily present in the BtoB segment but also engage in BtoC activities to a more marginal extent.  </w:t>
        <w:br/>
        <w:t xml:space="preserve">14. In the French express parcel delivery market, both domestic and international, the new entity will hold an estimated market share of [0-5]%. It will face several other major operators in the sector such as DHL (whose market share is estimated by the parties at [5-10]%), UPS ([5-10]%), TNT ([5-10]%), GLS ([5-10]%), France Express ([5-10]%), or La Poste (via Geopost ([10-20]%) and Coliposte ([10-20]%).  </w:t>
        <w:br/>
        <w:t xml:space="preserve">15. In the international parcel delivery market, the new entity will hold a market share of [5-10]%, with the operation resulting in an increment of [0-5]%. In a market segmented more finely based on the type of customers, the parties estimate that their position will be around [10-20]% in the BtoB international express parcel delivery segment and around [5-10]% in the BtoC international express parcel delivery segment.  </w:t>
        <w:br/>
        <w:t xml:space="preserve">16. Furthermore, the new entity will continue to face significant operators such as DHL ([20-30]% in the international parcel delivery market) and UPS ([10-20]% in the same market) as well as TNT and GLS.  </w:t>
        <w:br/>
        <w:t xml:space="preserve">17. Moreover, the operation does not result in any overlap of activities in the domestic express delivery market since only Tatex has activities in this area.  </w:t>
        <w:br/>
        <w:t xml:space="preserve">18. Consequently, the operation is not likely to harm competition in the delivery markets, regardless of the segmentation considered.  </w:t>
        <w:br/>
        <w:t xml:space="preserve">DECIDES  </w:t>
        <w:br/>
        <w:t xml:space="preserve">Sole Article: The operation notified under number 12-071 is authorized.  </w:t>
        <w:br/>
        <w:t xml:space="preserve">The Vice-President,  </w:t>
        <w:br/>
        <w:t xml:space="preserve">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