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https://www.autoritedelaconcurrence.fr/fr/decision-de-controle-des-concentrations/relative-la-prise-de-controle-exclusif-de-la-societe-telhd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20-DCC-85 of July 21, 2020  </w:t>
        <w:br/>
        <w:t xml:space="preserve">regarding the exclusive control acquisition of the company TELHD by the  </w:t>
        <w:br/>
        <w:t xml:space="preserve">investment fund Ergon Capital Partners IV  </w:t>
        <w:br/>
        <w:t xml:space="preserve">The Competition Authority,  </w:t>
        <w:br/>
        <w:t xml:space="preserve">Having regard to the complete notification file sent to the mergers department on July 2, 2020,  </w:t>
        <w:br/>
        <w:t xml:space="preserve">concerning the exclusive control acquisition by the investment fund Ergon Capital Partners IV of  </w:t>
        <w:br/>
        <w:t xml:space="preserve">the company TELHD, materialized by a unilateral promise to purchase shares dated  </w:t>
        <w:br/>
        <w:t xml:space="preserve">June 11,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investment fund  </w:t>
        <w:br/>
        <w:t xml:space="preserve">Ergon Capital Partners IV of the company TELHD active in the sector of development,  </w:t>
        <w:br/>
        <w:t xml:space="preserve">production, and distribution of passive telecommunications equipment and fiber optic  </w:t>
        <w:br/>
        <w:t xml:space="preserve">telecommunication cables.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control thresholds mentioned in point 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20-106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