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https://www.autoritedelaconcurrence.fr/fr/decision-de-controle-des-concentrations/relative-la-prise-de-controle-exclusif-de-la-societe-tessi</w:t>
      </w:r>
    </w:p>
    <w:p>
      <w:r>
        <w:t>Pages translated : 2</w:t>
      </w:r>
    </w:p>
    <w:p/>
    <w:p>
      <w:r>
        <w:rPr>
          <w:b/>
        </w:rPr>
        <w:t>[Pages 1–2]</w:t>
      </w:r>
    </w:p>
    <w:p>
      <w:r>
        <w:t xml:space="preserve">FRENCH REPUBLIC  </w:t>
        <w:br/>
        <w:t xml:space="preserve">Decision No. 16-DCC-108 of July 26, 2016  </w:t>
        <w:br/>
        <w:t xml:space="preserve">regarding the exclusive control acquisition of Tessi SA and its subsidiaries by Dentressangle Initiatives  </w:t>
        <w:br/>
        <w:t xml:space="preserve">The Competition Authority,  </w:t>
        <w:br/>
        <w:t xml:space="preserve">Having regard to the complete notification file submitted to the mergers department on July 1, 2016, concerning the exclusive control acquisition of Tessi SA and its subsidiaries by Dentressangle Initiatives, and formalized by a share transfer agreement dated May 31,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Tessi SA, specialized in the processing of flows (information, communication, payment methods, currency and gold transactions) for businesses, by Dentressangle Initiatives, which is itself active in the fields of capital investment and real estate.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point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markets1.  </w:t>
        <w:br/>
        <w:t>1 The effects of a potential vertical relationship between Indépendance Royale, primarily active in the market for home equipment for the elderly, and Tessi are limited. Indeed, Indépendance Royale spent in 2015, […] euros on marketing and communication services, which represents approximately [0-5]% of the overall French market for marketing and communication services.</w:t>
      </w:r>
    </w:p>
    <w:p>
      <w:r>
        <w:t xml:space="preserve">DECIDES  </w:t>
        <w:br/>
        <w:t xml:space="preserve">Sole Article: The operation notified under number 16-106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