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https://www.autoritedelaconcurrence.fr/fr/decision-de-controle-des-concentrations/relative-la-prise-de-controle-exclusif-de-la-societe-tiadis</w:t>
      </w:r>
    </w:p>
    <w:p>
      <w:r>
        <w:t>Pages translated : 2</w:t>
      </w:r>
    </w:p>
    <w:p/>
    <w:p>
      <w:r>
        <w:rPr>
          <w:b/>
        </w:rPr>
        <w:t>[Pages 1–2]</w:t>
      </w:r>
    </w:p>
    <w:p>
      <w:r>
        <w:t xml:space="preserve">REPUBLIC OF FRANCE  </w:t>
        <w:br/>
        <w:t xml:space="preserve">Decision No. 21-DCC-245 of December 10, 2021  </w:t>
        <w:br/>
        <w:t>regarding the exclusive control acquisition of the company Tiadis by the Carrefour group</w:t>
      </w:r>
    </w:p>
    <w:p>
      <w:r>
        <w:t>The Competition Authority,</w:t>
      </w:r>
    </w:p>
    <w:p>
      <w:r>
        <w:t xml:space="preserve">Having regard to the complete notification file submitted to the mergers department on November 25, 2021, concerning the exclusive control acquisition of the company Tiadis by the operating company Amidis et Compagnie, a subsidiary of the Carrefour group, formalized by a promise of transfer of social rights dated November 19, 2021;  </w:t>
        <w:br/>
        <w:t xml:space="preserve">Having regard to Book IV of the Commercial Code relating to the freedom of prices and competition, and in particular its Articles L. 430-1 to L. 430-7;  </w:t>
        <w:br/>
        <w:t>Having regard to the additional elements provided by the notifying party during the investigation;</w:t>
      </w:r>
    </w:p>
    <w:p>
      <w:r>
        <w:t xml:space="preserve">Adopts the following decision:  </w:t>
        <w:br/>
        <w:t xml:space="preserve">1. The notified operation consists of the exclusive control acquisition by the operating company Amidis et Compagnie, a subsidiary of the Carrefour group, of the company Tiadis, which operates, under the Carrefour Market brand, a supermarket with an area of 2,188 m² located in Nivillac (56). It constitutes a concentration operation within the meaning of Article L. 430-1 of the Commercial Code. Given the revenues generated by the companies concerned, the operation does not fall under the jurisdiction of the European Union. However, the control thresholds related to retail trade mentioned in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21-295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