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https://www.autoritedelaconcurrence.fr/fr/decision-de-controle-des-concentrations/relative-la-prise-de-controle-exclusif-de-la-societe-tiger</w:t>
      </w:r>
    </w:p>
    <w:p>
      <w:r>
        <w:t>Pages translated : 2</w:t>
      </w:r>
    </w:p>
    <w:p/>
    <w:p>
      <w:r>
        <w:rPr>
          <w:b/>
        </w:rPr>
        <w:t>[Pages 1–2]</w:t>
      </w:r>
    </w:p>
    <w:p>
      <w:r>
        <w:t xml:space="preserve">FRENCH REPUBLIC  </w:t>
        <w:br/>
        <w:t xml:space="preserve">Decision No. 20-DCC-79 of June 15, 2020  </w:t>
        <w:br/>
        <w:t xml:space="preserve">regarding the exclusive control acquisition of the company Tiger Stores France  </w:t>
        <w:br/>
        <w:t xml:space="preserve">by the company Zebra  </w:t>
        <w:br/>
        <w:t xml:space="preserve">The Competition Authority,  </w:t>
        <w:br/>
        <w:t xml:space="preserve">Having regard to the complete notification file submitted to the mergers department on May 6, 2020, concerning the exclusive control acquisition by the company Zebra of the company Tiger Stores France formalized by a share purchase agreement dated April 1, 2020;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Zebra of the company Tiger Stores France, which is active in the retail distribution of low-value bazaar and decoration products. It constitutes a concentration operation within the meaning of Article L. 430-1 of the Commercial Code. Given the turnover achieved by the concerned companies, the operation does not fall under the jurisdiction of the European Union. However, the control thresholds applicable to the retail trade mentioned in II of Article L. 430-2 of the Commercial Code are exceeded. This operation is therefore subject to the provisions of Articles L. 430-3 and following of the Commercial Code relating to economic concentration.  </w:t>
        <w:br/>
        <w:t xml:space="preserve">2. The market concerned by the operation is the market for the retail sale of low-value bazaar and decoration products. This market is consistently defined by the decision-making practice of the competition authorities.  </w:t>
        <w:br/>
        <w:t xml:space="preserve">3. In this market, regardless of the segmentations retained, the cumulative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20-078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