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https://www.autoritedelaconcurrence.fr/fr/decision-de-controle-des-concentrations/relative-la-prise-de-controle-exclusif-de-la-societe-tivoli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12-DCC-147 of October 11, 2012  </w:t>
        <w:br/>
        <w:t xml:space="preserve">regarding the exclusive control acquisition of the company Tivoli Distribution  </w:t>
        <w:br/>
        <w:t xml:space="preserve">by the company ITM Alimentaire Centre Ouest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September 20, 2012, concerning the exclusive control acquisition of the company Tivoli Distribution by  </w:t>
        <w:br/>
        <w:t xml:space="preserve">the company ITM Alimentaire Centre Ouest, a subsidiary of ITM Entreprises, materialized by a  </w:t>
        <w:br/>
        <w:t xml:space="preserve">transfer protocol, under suspensive condition and for holding purposes, dated  </w:t>
        <w:br/>
        <w:t xml:space="preserve">March 15,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Tivoli Distribution,  </w:t>
        <w:br/>
        <w:t xml:space="preserve">which operates a retail business predominantly in food under the Intermarché brand with a surface area  </w:t>
        <w:br/>
        <w:t xml:space="preserve">of 2,490 m² in Le Magny (36), by the company ITM Alimentaire Centre Ouest, a subsidiary of ITM Entreprises.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have a community dimension.  </w:t>
        <w:br/>
        <w:t xml:space="preserve">On the other hand, the control thresholds related to retail trade mentioned in point II of Article L. 430-2 of the  </w:t>
        <w:br/>
        <w:t xml:space="preserve">Commercial Code are exceeded. This operation is therefore subject to the provisions of Articles L. 430-3 and  </w:t>
        <w:br/>
        <w:t xml:space="preserve">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12-156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