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https://www.autoritedelaconcurrence.fr/fr/decision-de-controle-des-concentrations/relative-la-prise-de-controle-exclusif-de-la-societe-topsky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25-DCC-236 of October 10, 2025  </w:t>
        <w:br/>
        <w:t xml:space="preserve">regarding the exclusive control acquisition of the company TopSky  </w:t>
        <w:br/>
        <w:t xml:space="preserve">by the company Cinven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16, 2025, concerning the exclusive control acquisition of the company TopSky by the company  </w:t>
        <w:br/>
        <w:t xml:space="preserve">Cinven formalized by a purchase agreement signed on July 23,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transaction consists of the acquisition, by the company Datheos BidCo, ultimately controlled  </w:t>
        <w:br/>
        <w:t xml:space="preserve">by the company Cinven, of a majority stake in the company TopSky, which is at the head of the Artefact group that is active in the field of data and artificial intelligence consulting. The transaction constitutes a concentration within the meaning of  </w:t>
        <w:br/>
        <w:t xml:space="preserve">Article L. 430-1 of the Commercial Code. Given the turnover generated by the  </w:t>
        <w:br/>
        <w:t xml:space="preserve">concerned companies, the transaction does not fall under the jurisdiction of the European Union. However, the control thresholds mentioned in I of Article L. 430-2 of the Commercial Code are exceeded. The present transaction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transaction is not likely to harm competition  </w:t>
        <w:br/>
        <w:t>in the relevant markets.</w:t>
      </w:r>
    </w:p>
    <w:p>
      <w:r>
        <w:t xml:space="preserve">DECIDES  </w:t>
        <w:br/>
        <w:t xml:space="preserve">Sole Article: The notified transaction under number 25-235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