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https://www.autoritedelaconcurrence.fr/fr/decision-de-controle-des-concentrations/relative-la-prise-de-controle-exclusif-de-la-societe-triade</w:t>
      </w:r>
    </w:p>
    <w:p>
      <w:r>
        <w:t>Pages translated : 4</w:t>
      </w:r>
    </w:p>
    <w:p/>
    <w:p>
      <w:r>
        <w:rPr>
          <w:b/>
        </w:rPr>
        <w:t>[Pages 1–3]</w:t>
      </w:r>
    </w:p>
    <w:p>
      <w:r>
        <w:t xml:space="preserve">FRENCH REPUBLIC  </w:t>
        <w:br/>
        <w:t xml:space="preserve">Decision No. 09-DCC-81 of December 18, 2009  </w:t>
        <w:br/>
        <w:t xml:space="preserve">regarding the exclusive control of the company Triade Finances  </w:t>
        <w:br/>
        <w:t>by the company Fayat</w:t>
      </w:r>
    </w:p>
    <w:p>
      <w:r>
        <w:t xml:space="preserve">The Competition Authority,  </w:t>
        <w:br/>
        <w:t xml:space="preserve">Having regard to the notification file submitted in full to the merger service on November 16, 2009, regarding the exclusive control of the company Triade Finances by the company Fayat, formalized by an acquisition protocol signed on November 10, 2009;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Fayat, whose capital is wholly owned by the Clément Fayat family, is the parent company of the Fayat group. This group is organized into 6 major divisions corresponding to the different families of trades in which it operates: manufacturing of road equipment (37% of the group's activity), construction and public works (which represent 30% of the group's activity), metal construction (15% of the group's activity), electricity, electronics, and computing (10% of the group's activity), manufacturing of handling equipment (4% of the group's activity), and boiler-making.  </w:t>
        <w:br/>
        <w:t xml:space="preserve">2. The total worldwide turnover excluding taxes achieved by the Fayat group in 2008, the last closed fiscal year, amounts to 2.3 billion euros, of which 1.4 billion in France.  </w:t>
        <w:br/>
        <w:t xml:space="preserve">3. Triade Finances (hereinafter "Triade") is the parent company of the NFC group. Prior to the notified operation, this company was held 50.6% by Mr. Gonsolin and his family, 24.7% by Mr. Chomette and his family, with the remainder of the capital held by Mr. Quaillet and his family. The NFC group operates in the construction sector, primarily for the construction of public buildings, particularly in the fields of health and education. The group is mainly active in the regions of Nord-Pas de Calais, Picardie, and Île-de-France.  </w:t>
        <w:br/>
        <w:t xml:space="preserve">4. The total worldwide turnover excluding taxes achieved by the NFC group in 2008, the last closed fiscal year, amounts to 60 million euros, exclusively in France.  </w:t>
        <w:br/>
        <w:t xml:space="preserve">* * *  </w:t>
        <w:br/>
        <w:t xml:space="preserve">5. Upon completion of the notified operation, the Fayat group will hold all the capital and voting rights of the company Triade, the parent company of the NFC group.  </w:t>
        <w:br/>
        <w:t>6. As it results in the exclusive control of the company Triade by the company Fayat, the notified operation constitutes a concentration within the meaning of Article L. 430-1 of the Commercial Code. Given the turnovers of the companies concerned, the operation does not have a Community dimension. However, the thresholds mentioned by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 xml:space="preserve">7. The parties to the operation are simultaneously active in the construction sector, in the markets of structural work as well as in the markets of finishing work.  </w:t>
        <w:br/>
        <w:t xml:space="preserve">A. DELIMITATION OF PRODUCT MARKETS  </w:t>
        <w:br/>
        <w:t xml:space="preserve">8. In the construction sector, both national and Community competition authorities distinguish between structural work, which concerns the structure of the building (foundations, walls, roofing...), and finishing work, which concerns the cladding and equipment of said structure (various supply networks, insulation...).  </w:t>
        <w:br/>
        <w:t xml:space="preserve">9. Whether within structural work or finishing work, decision-making practice considers a first segmentation based on whether the work is performed for professional clients (public and commercial) or individuals. A second segmentation based on the use of the building, distinguishing between residential and non-residential buildings, has also been considered.  </w:t>
        <w:br/>
        <w:t xml:space="preserve">10. Regarding finishing work in particular, competition authorities have questioned a possible segmentation by trade:  </w:t>
        <w:br/>
        <w:t xml:space="preserve">- painting work (industrial painting, exterior painting, and facade renovation);  </w:t>
        <w:br/>
        <w:t xml:space="preserve">- plastering work (installation of powder plaster and plasterboard, apart from the installation of plasterboard forming ceilings and partitions);  </w:t>
        <w:br/>
        <w:t xml:space="preserve">- ceiling work (installation of stretched, suspended, or plasterboard ceilings);  </w:t>
        <w:br/>
        <w:t xml:space="preserve">- partition work (installation of partition walls, modular partitions, or plasterboard partitions);  </w:t>
        <w:br/>
        <w:t xml:space="preserve">- carpentry work (on wood, plastic, or metal).  </w:t>
        <w:br/>
        <w:t>11. There is no need to challenge these boundaries during the examination of the present operation. In any case, in the absence of competitive issues, the question of the exact delimitation of the construction markets can remain open.</w:t>
      </w:r>
    </w:p>
    <w:p>
      <w:r>
        <w:t xml:space="preserve">B. DELIMITATION OF GEOGRAPHICAL MARKETS  </w:t>
        <w:br/>
        <w:t xml:space="preserve">12. Community and national competition authorities consider a national dimension for construction markets.  </w:t>
        <w:br/>
        <w:t xml:space="preserve">13. National decision-making practice has also considered, in the specific case of finishing work, a regional dimension due to the significant number of local actors. However, national practice notes that for certain large-scale projects, the dimension of the finishing work markets may exceed the region.  </w:t>
        <w:br/>
        <w:t>14. In this case, the analysis will be conducted at the national level for structural work and finishing work. The effects of the operation will also be analyzed, regarding the markets of finishing work, at the level of the Île-de-France region, where the parties are simultaneously active.</w:t>
      </w:r>
    </w:p>
    <w:p>
      <w:r>
        <w:t xml:space="preserve">III. Competitive analysis  </w:t>
        <w:br/>
        <w:t xml:space="preserve">15. Regarding both structural work and finishing work, the activities of the parties overlap in the market for buildings intended for professionals as well as in the markets for residential and non-residential buildings.  </w:t>
        <w:br/>
        <w:t xml:space="preserve">A. STRUCTURAL WORK  </w:t>
        <w:br/>
        <w:t xml:space="preserve">16. Following the present operation, the position of the new entity on each of the three markets specified in the previous paragraph will remain below [0-5]%. Furthermore, it will continue to face competition from powerful groups such as Vinci, Bouygues, and Eiffage.  </w:t>
        <w:br/>
        <w:t>17. It follows from the above that the notified operation is not likely to harm competition in the various markets of structural work.</w:t>
      </w:r>
    </w:p>
    <w:p>
      <w:r>
        <w:rPr>
          <w:b/>
        </w:rPr>
        <w:t>[Pages 4–4]</w:t>
      </w:r>
    </w:p>
    <w:p>
      <w:r>
        <w:t>B. FINISHING WORK</w:t>
      </w:r>
    </w:p>
    <w:p>
      <w:r>
        <w:t>18. At the national level, as well as within the Île-de-France region, the market share of the Fayat group, following the proposed operation, will be below [0-5]% in each of the three markets where the operation results in an overlap. Furthermore, in these markets, the new entity will continue to face competition from the previously mentioned groups, in addition to numerous companies of varying sizes, with the competitive structure in the finishing work sector being highly fragmented, as national competition authorities have already pointed out.</w:t>
      </w:r>
    </w:p>
    <w:p>
      <w:r>
        <w:t>19. Due to a lack of data, the parties were unable to calculate their positions in the various finishing work markets segmented by the relevant trades. However, given their low market share, both at the national and regional levels, across the different segments of residential construction, non-residential construction, and construction for professionals, as well as the presence of many competitors, the present operation is not likely to harm competition in the finishing work markets regardless of the segmentations considered.</w:t>
      </w:r>
    </w:p>
    <w:p>
      <w:r>
        <w:t>DECIDES</w:t>
      </w:r>
    </w:p>
    <w:p>
      <w:r>
        <w:t>Sole Article: The operation notified under number 09-0122 is authorized.</w:t>
      </w:r>
    </w:p>
    <w:p>
      <w: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