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https://www.autoritedelaconcurrence.fr/fr/decision-de-controle-des-concentrations/relative-la-prise-de-controle-exclusif-de-la-societe-unify</w:t>
      </w:r>
    </w:p>
    <w:p>
      <w:r>
        <w:t>Pages translated : 2</w:t>
      </w:r>
    </w:p>
    <w:p/>
    <w:p>
      <w:r>
        <w:rPr>
          <w:b/>
        </w:rPr>
        <w:t>[Pages 1–2]</w:t>
      </w:r>
    </w:p>
    <w:p>
      <w:r>
        <w:t xml:space="preserve">FRENCH REPUBLIC  </w:t>
        <w:br/>
        <w:t xml:space="preserve">Decision No. 22-DCC-190 of October 7, 2022  </w:t>
        <w:br/>
        <w:t xml:space="preserve">regarding the exclusive control of the company Unify by the Reworld Media group  </w:t>
        <w:br/>
        <w:t xml:space="preserve">The Competition Authority,  </w:t>
        <w:br/>
        <w:t xml:space="preserve">Having regard to the complete notification file sent to the mergers department on September 22, 2022, concerning the acquisition of control of the company Unify by the Reworld Media group, formalized by a purchase promise dated June 28,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by the Reworld Media group of the company Unify active in the sectors of operating editorial websites, magazine publishing, and the sale of online advertising space and in magazine press.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