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https://www.autoritedelaconcurrence.fr/fr/decision-de-controle-des-concentrations/relative-la-prise-de-controle-exclusif-de-la-societe-urbat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18-DCC-204 of December 7, 2018  </w:t>
        <w:br/>
        <w:t xml:space="preserve">regarding the acquisition of exclusive control  </w:t>
        <w:br/>
        <w:t xml:space="preserve">of the company Urbat Promotion by the company Vinci Immobilier  </w:t>
        <w:br/>
        <w:t xml:space="preserve">The Competition Authority,  </w:t>
        <w:br/>
        <w:t xml:space="preserve">Having regard to the complete notification file submitted to the mergers department on November 5, 2018,  </w:t>
        <w:br/>
        <w:t xml:space="preserve">concerning the acquisition of exclusive control of the company Urbat Promotion by the company Vinci  </w:t>
        <w:br/>
        <w:t xml:space="preserve">Immobilier, formalized by a transfer and acquisition agreement dated October 17,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Urbat Promotion by  </w:t>
        <w:br/>
        <w:t xml:space="preserve">the company Vinci Immobilier. It constitutes a concentration within the meaning of Article L. 430-1 of the  </w:t>
        <w:br/>
        <w:t xml:space="preserve">Commercial Code. Given the turnover achieved by the concerned companies, the notification thresholds of  </w:t>
        <w:br/>
        <w:t xml:space="preserve">Article 1 paragraph 2 of Regulation (EC) 139/2004 are exceeded, but, each of the concerned companies  </w:t>
        <w:br/>
        <w:t xml:space="preserve">achieving more than two-thirds of its turnover in the Union in France, the operation does not fall under the  </w:t>
        <w:br/>
        <w:t xml:space="preserve">competence of the European Union. However, the control thresholds mentioned in I of Article L. 430-2 of the  </w:t>
        <w:br/>
        <w:t xml:space="preserve">Commercial Code are exceeded. The present operation is therefore subject to the provisions of Articles L.  </w:t>
        <w:br/>
        <w:t xml:space="preserve">430-3 and following of the Commercial Code relating to economic concentration.  </w:t>
        <w:br/>
        <w:t xml:space="preserve">2. The markets concerned by the operation are those of real estate services, and more  </w:t>
        <w:br/>
        <w:t xml:space="preserve">particularly of real estate promotion aimed at residential customers, as well as the markets of construction  </w:t>
        <w:br/>
        <w:t xml:space="preserve">in terms of structural work and electrical and climate-related finishing work.  </w:t>
        <w:br/>
        <w:t xml:space="preserve">3. Regardless of the segmentations retained, the cumulative market shares of the parties are  </w:t>
        <w:br/>
        <w:t xml:space="preserve">below 25% when their activities overlap in the same market and 30% in upstream, downstream, or  </w:t>
        <w:br/>
        <w:t xml:space="preserve">related markets.  </w:t>
        <w:br/>
        <w:t xml:space="preserve">4. Considering the elements of the file and in particular point 384 of the guidelines of the  </w:t>
        <w:br/>
        <w:t xml:space="preserve">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Sole Article: The operation notified under number 18-227 is authorized.  </w:t>
        <w:br/>
        <w:t xml:space="preserve">The Chairwoman,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