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https://www.autoritedelaconcurrence.fr/fr/decision-de-controle-des-concentrations/relative-la-prise-de-controle-exclusif-de-la-societe-utac-0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20-DCC-117 of September 3, 2020</w:t>
        <w:br/>
        <w:t>regarding the exclusive control acquisition of the company UTAC Holding by</w:t>
        <w:br/>
        <w:t>the company Eurazeo PME</w:t>
        <w:br/>
        <w:t>The Competition Authority,</w:t>
        <w:br/>
        <w:t>Having regard to the complete notification file sent to the mergers department on August 11, 2020,</w:t>
        <w:br/>
        <w:t>concerning the exclusive control acquisition of the company UTAC Holding SAS by the company Eurazeo</w:t>
        <w:br/>
        <w:t>PME, formalized by a purchase promise dated June 29, 2020;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fund management company</w:t>
        <w:br/>
        <w:t>Eurazeo PME of the company UTAC Holding, which heads the UTAC CERAM group, active in the land mobility sector.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point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20-134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