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https://www.autoritedelaconcurrence.fr/fr/decision-de-controle-des-concentrations/relative-la-prise-de-controle-exclusif-de-la-societe-utac</w:t>
      </w:r>
    </w:p>
    <w:p>
      <w:r>
        <w:t>Pages translated : 2</w:t>
      </w:r>
    </w:p>
    <w:p/>
    <w:p>
      <w:r>
        <w:rPr>
          <w:b/>
        </w:rPr>
        <w:t>[Pages 1–2]</w:t>
      </w:r>
    </w:p>
    <w:p>
      <w:r>
        <w:t xml:space="preserve">FRENCH REPUBLIC  </w:t>
        <w:br/>
        <w:t xml:space="preserve">Decision No. 18-DCC-05 of January 5, 2018  </w:t>
        <w:br/>
        <w:t xml:space="preserve">regarding the exclusive control acquisition of the company UTAC by the Enterprise Consolidation and Development Fund II  </w:t>
        <w:br/>
        <w:t xml:space="preserve">The Competition Authority,  </w:t>
        <w:br/>
        <w:t xml:space="preserve">Having regard to the complete notification file submitted to the mergers department on December 8, 2017, concerning the exclusive control acquisition of the company UTAC Holding SAS by the Enterprise Consolidation and Development Fund II, materialized by a share transfer agreement dated December 8, 2017;  </w:t>
        <w:br/>
        <w:t xml:space="preserve">Having regard to Book IV of the Commercial Code relating to the freedom of prices and competition, and in particular its Articles L. 430-1 to L. 430-7;  </w:t>
        <w:br/>
        <w:t xml:space="preserve">Adopts the following decision:  </w:t>
        <w:br/>
        <w:t xml:space="preserve">1. The notified transaction consists of the exclusive control acquisition by the Enterprise Consolidation and Development Fund II of the company UTAC Holding SAS, which heads the UTAC CERAM group, active in the land mobility sector. It constitutes a concentration operation within the meaning of Article L. 430-1 of the Commercial Code. Given the turnover achieved by the companies concerned, the operation does not fall under the jurisdiction of the European Union. On the other hand, the control thresholds mentioned in point 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transaction notified under number 17-277 is authorized.  </w:t>
        <w:br/>
        <w:t xml:space="preserve">The Vice-President,  </w:t>
        <w:br/>
        <w:t xml:space="preserve">Emmanuel Combe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