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https://www.autoritedelaconcurrence.fr/fr/decision-de-controle-des-concentrations/relative-la-prise-de-controle-exclusif-de-la-societe-vallee</w:t>
      </w:r>
    </w:p>
    <w:p>
      <w:r>
        <w:t>Pages translated : 2</w:t>
      </w:r>
    </w:p>
    <w:p/>
    <w:p>
      <w:r>
        <w:rPr>
          <w:b/>
        </w:rPr>
        <w:t>[Pages 1–2]</w:t>
      </w:r>
    </w:p>
    <w:p>
      <w:r>
        <w:t xml:space="preserve">FRENCH REPUBLIC  </w:t>
        <w:br/>
        <w:t xml:space="preserve">Decision No. 19-DCC-19 of February 11, 2019  </w:t>
        <w:br/>
        <w:t xml:space="preserve">regarding the exclusive control acquisition of the company Vallée by the company  </w:t>
        <w:br/>
        <w:t xml:space="preserve">Team Colin  </w:t>
        <w:br/>
        <w:t>The Competition Authority,</w:t>
      </w:r>
    </w:p>
    <w:p>
      <w:r>
        <w:t xml:space="preserve">Having regard to the complete notification file sent to the mergers department on January 7, 2019,  </w:t>
        <w:br/>
        <w:t xml:space="preserve">concerning the exclusive control acquisition of the company Vallée by the company Team Colin, formalized  </w:t>
        <w:br/>
        <w:t>by a transfer protocol dated December 19, 2018;</w:t>
      </w:r>
    </w:p>
    <w:p>
      <w:r>
        <w:t xml:space="preserve">Having regard to Book IV of the Commercial Code relating to the freedom of prices and competition, and  </w:t>
        <w:br/>
        <w:t>notably its Articles L. 430-1 to L. 430-7;</w:t>
      </w:r>
    </w:p>
    <w:p>
      <w:r>
        <w:t>Having regard to the elements transmitted during the investigation by the notifying party;</w:t>
      </w:r>
    </w:p>
    <w:p>
      <w:r>
        <w:t>Adopts the following decision:</w:t>
      </w:r>
    </w:p>
    <w:p>
      <w:r>
        <w:t xml:space="preserve">1. The notified operation consists of the exclusive control acquisition by the company Team Colin of the  </w:t>
        <w:br/>
        <w:t xml:space="preserve">company Vallée, which operates a Toyota dealership in the department of Seine-et-Marne (77), as well as two Toyota dealerships in the department of Aube (10). It constitutes a concentration operation within the meaning of Article L. 430-1 of the Commercial Code.  </w:t>
        <w:br/>
        <w:t>Given the turnover achieved by the concerned companies,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19-003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