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https://www.autoritedelaconcurrence.fr/fr/decision-de-controle-des-concentrations/relative-la-prise-de-controle-exclusif-de-la-societe-vara</w:t>
      </w:r>
    </w:p>
    <w:p>
      <w:r>
        <w:t>Pages translated : 2</w:t>
      </w:r>
    </w:p>
    <w:p/>
    <w:p>
      <w:r>
        <w:rPr>
          <w:b/>
        </w:rPr>
        <w:t>[Pages 1–2]</w:t>
      </w:r>
    </w:p>
    <w:p>
      <w:r>
        <w:t xml:space="preserve">FRENCH REPUBLIC  </w:t>
        <w:br/>
        <w:t xml:space="preserve">Decision No. 14-DCC-55 of April 18, 2014  </w:t>
        <w:br/>
        <w:t xml:space="preserve">regarding the exclusive control acquisition of the company Vara by the company  </w:t>
        <w:br/>
        <w:t xml:space="preserve">Orfite Investissements 18  </w:t>
        <w:br/>
        <w:t xml:space="preserve">The Competition Authority,  </w:t>
        <w:br/>
        <w:t xml:space="preserve">Having regard to the notification file submitted in full to the mergers department on March 28, 2014,  </w:t>
        <w:br/>
        <w:t xml:space="preserve">concerning the exclusive control acquisition of the company Vara by the company Orfite Investissements  </w:t>
        <w:br/>
        <w:t xml:space="preserve">18, formalized by a protocol of transfer, contribution, and purchase of shares dated January 9, 2014;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of the Vara group, active in the  </w:t>
        <w:br/>
        <w:t xml:space="preserve">sector of telecommunications network installation and maintenance services, by the company Orfite Investissements 18, a subsidiary of the Orfite group, notably active in the sectors  </w:t>
        <w:br/>
        <w:t xml:space="preserve">of furniture sales, PVC windows, radiators, roller shutters, wood distribution and trading, sales of inked ribbons, decorative objects for the home, fragrance compositions, mechanical fasteners, and signage articles for food businesses. This operation constitutes a concentration operation within the meaning of  </w:t>
        <w:br/>
        <w:t xml:space="preserve">Article L. 430-1 of the Commercial Code. Given the turnover achieved by the companies concerned, the operation does not fall under the jurisdiction of the European Union. However, the control thresholds relating to concentration operations mentioned in point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14-034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