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https://www.autoritedelaconcurrence.fr/fr/decision-de-controle-des-concentrations/relative-la-prise-de-controle-exclusif-de-la-societe-vexin</w:t>
      </w:r>
    </w:p>
    <w:p>
      <w:r>
        <w:t>Pages translated : 5</w:t>
      </w:r>
    </w:p>
    <w:p/>
    <w:p>
      <w:r>
        <w:rPr>
          <w:b/>
        </w:rPr>
        <w:t>[Pages 1–3]</w:t>
      </w:r>
    </w:p>
    <w:p>
      <w:r>
        <w:t xml:space="preserve">FRENCH REPUBLIC  </w:t>
        <w:br/>
        <w:t xml:space="preserve">Decision No. 09-DCC-70 of December 2, 2009  </w:t>
        <w:br/>
        <w:t xml:space="preserve">regarding the exclusive control of the company Vexin Distribution  </w:t>
        <w:br/>
        <w:t xml:space="preserve">SAS by the company ITM Alimentaire Région Parisienne (ITM  </w:t>
        <w:br/>
        <w:t xml:space="preserve">Enterprises Group)  </w:t>
        <w:br/>
        <w:t xml:space="preserve">The Competition Authority,  </w:t>
        <w:br/>
        <w:t xml:space="preserve">Having regard to the notification file submitted in full to the merger service on October 30, 2009,  </w:t>
        <w:br/>
        <w:t xml:space="preserve">regarding the acquisition of the company Vexin Distribution S.A.S. by the company ITM Alimentaire  </w:t>
        <w:br/>
        <w:t xml:space="preserve">Région Parisienne, formalized by a share transfer agreement under suspensive conditions signed on  </w:t>
        <w:br/>
        <w:t xml:space="preserve">October 1, 2009;  </w:t>
        <w:br/>
        <w:t xml:space="preserve">Having regard to Book IV of the Commercial Code relating to the freedom of prices and competition,  </w:t>
        <w:br/>
        <w:t xml:space="preserve">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ITM Entreprises, 100% controlled by the Société civile des Mousquetaires,  </w:t>
        <w:br/>
        <w:t xml:space="preserve">itself owned by 1,330 individuals known as "associated members," manages and animates the network  </w:t>
        <w:br/>
        <w:t xml:space="preserve">of independent merchants known as the "Groupement des Mousquetaires." As a franchisor, the  </w:t>
        <w:br/>
        <w:t xml:space="preserve">company ITM Entreprises has as its main activity the management of a network of sales outlets,  </w:t>
        <w:br/>
        <w:t xml:space="preserve">both food and non-food, operated by independent merchants under the following brands:  </w:t>
        <w:br/>
        <w:t xml:space="preserve">Intermarché, Ecomarché, Netto, Restaumarché, Bricomarché, Roady, and Vêti. This management  </w:t>
        <w:br/>
        <w:t xml:space="preserve">is carried out notably through the signing and monitoring of membership and brand agreements with  </w:t>
        <w:br/>
        <w:t xml:space="preserve">the companies operating these sales outlets. ITM Entreprises also provides its franchisees with various  </w:t>
        <w:br/>
        <w:t xml:space="preserve">services for prospecting, consulting, training, etc. Finally, ITM Entreprises offers franchisees the  </w:t>
        <w:br/>
        <w:t xml:space="preserve">opportunity to benefit from advantageous supply conditions from its national and regional subsidiaries  </w:t>
        <w:br/>
        <w:t xml:space="preserve">as well as from external suppliers referenced outside the "Groupement des Mousquetaires." The  </w:t>
        <w:br/>
        <w:t xml:space="preserve">company ITM Alimentaire Région Parisienne is a general partnership owned at [&gt;50]% by the  </w:t>
        <w:br/>
        <w:t xml:space="preserve">Société ITM Alimentaire France, itself owned by the company ITM Entreprises, and at [&lt;50]% by  </w:t>
        <w:br/>
        <w:t xml:space="preserve">the company ITM Entreprises. The company ITM Entreprises has entrusted the company ITM  </w:t>
        <w:br/>
        <w:t xml:space="preserve">Alimentaire Région Parisienne with the management, development, and protection of the integrity of  </w:t>
        <w:br/>
        <w:t xml:space="preserve">the franchise network operating under the food brands Intermarché, Ecomarché, and Netto, in the  </w:t>
        <w:br/>
        <w:t xml:space="preserve">east of France. The ITM Entreprises group achieved, during the last fiscal year ending on December  </w:t>
        <w:br/>
        <w:t xml:space="preserve">31, 2008, a total turnover excluding taxes of [20-30] billion euros, of which [15-25] billion in  </w:t>
        <w:br/>
        <w:t xml:space="preserve">France.  </w:t>
        <w:br/>
        <w:t xml:space="preserve">2. The company Vexin Distribution S.A.S. (hereinafter "Vexin Distribution"), is a company under  </w:t>
        <w:br/>
        <w:t xml:space="preserve">French law whose main purpose is the operation of a predominantly food store located in Gisors  </w:t>
        <w:br/>
        <w:t xml:space="preserve">(27140) under the Intermarché brand. The company Vexin Distribution is predominantly owned by  </w:t>
        <w:br/>
        <w:t xml:space="preserve">Mr. Philippe Callens, his wife, and members of their family. Mr. and Mrs. Callens are signatories of  </w:t>
        <w:br/>
        <w:t xml:space="preserve">the membership charter of the Groupement des Mousquetaires. The remainder of the capital of Vexin  </w:t>
        <w:br/>
        <w:t xml:space="preserve">Distribution is held by ITM Entreprises through a share, which does not confer any special rights to  </w:t>
        <w:br/>
        <w:t xml:space="preserve">ITM Entreprises. Furthermore, the company Vexin Distribution signed a brand agreement on  </w:t>
        <w:br/>
        <w:t xml:space="preserve">September 12, 2001, with ITM Entreprises, by which the use of the Intermarché brand is granted to  </w:t>
        <w:br/>
        <w:t xml:space="preserve">it for the operation of its business. The total consolidated worldwide turnover excluding taxes  </w:t>
        <w:br/>
        <w:t xml:space="preserve">achieved by Vexin Distribution in 2008, the last closed fiscal year, amounts to 21 million euros  </w:t>
        <w:br/>
        <w:t xml:space="preserve">exclusively in France.  </w:t>
        <w:br/>
        <w:t xml:space="preserve">3. ITM Alimentaire Région Parisienne has committed, through a share transfer agreement under  </w:t>
        <w:br/>
        <w:t xml:space="preserve">suspensive conditions dated October 1, 2009, to acquire all the shares of the company Vexin  </w:t>
        <w:br/>
        <w:t xml:space="preserve">Distribution.  </w:t>
        <w:br/>
        <w:t xml:space="preserve">4. Insofar as it results in the exclusive control of the company Vexin Distribution by the ITM  </w:t>
        <w:br/>
        <w:t xml:space="preserve">Enterprises group, the notified operation constitutes a concentration within the meaning of Article  </w:t>
        <w:br/>
        <w:t xml:space="preserve">L. 430-1 of the Commercial Code. Given the turnover of the concerned companies, it does not have  </w:t>
        <w:br/>
        <w:t xml:space="preserve">a community dimension. On the other hand, the control thresholds mentioned in point I of Article  </w:t>
        <w:br/>
        <w:t xml:space="preserve">L. 430-2 of the Commercial Code are exceeded. This operation is therefore subject to the  </w:t>
        <w:br/>
        <w:t xml:space="preserve">provisions of Articles L. 430-3 and following of the Commercial Code relating to economic  </w:t>
        <w:br/>
        <w:t xml:space="preserve">concentration.  </w:t>
        <w:br/>
        <w:t xml:space="preserve">II. Delimitation of relevant markets  </w:t>
        <w:br/>
        <w:t xml:space="preserve">A. THE MARKETS CONCERNED  </w:t>
        <w:br/>
        <w:t xml:space="preserve">5. The parties are simultaneously active in the sector of predominantly food distribution in the  </w:t>
        <w:br/>
        <w:t xml:space="preserve">region of Gisors (27140).  </w:t>
        <w:br/>
        <w:t xml:space="preserve">6. According to the consistent practice of national and community competition authorities, two  </w:t>
        <w:br/>
        <w:t xml:space="preserve">categories of markets can be delineated in the sector of predominantly food distribution. These are,  </w:t>
        <w:br/>
        <w:t xml:space="preserve">on the one hand, "downstream" markets, of a local dimension, which bring together retail  </w:t>
        <w:br/>
        <w:t xml:space="preserve">businesses and consumers for the sale of consumer goods, and, on the other hand, "upstream"  </w:t>
        <w:br/>
        <w:t xml:space="preserve">markets for the supply of retail businesses with everyday consumer goods, of a national dimension.  </w:t>
        <w:br/>
        <w:t xml:space="preserve">1. DOWNSTREAM DISTRIBUTION MARKETS  </w:t>
        <w:br/>
        <w:t xml:space="preserve">7. Regarding the retail sale of everyday consumer goods, competition authorities, both at the  </w:t>
        <w:br/>
        <w:t xml:space="preserve">community and national levels, have distinguished six categories of commerce using several criteria,  </w:t>
        <w:br/>
        <w:t xml:space="preserve">including the size of the stores, their sales techniques, their accessibility, the nature of the service  </w:t>
        <w:br/>
        <w:t xml:space="preserve">provided, and the range of products offered: (i) hypermarkets, (ii) supermarkets, (iii) specialized  </w:t>
        <w:br/>
        <w:t xml:space="preserve">trade, (iv) small retail trade, (v) discount stores, (vi) mail-order sales.  </w:t>
        <w:br/>
        <w:t xml:space="preserve">8. Hypermarkets are usually defined as food stores with a sales area equal to or greater than 2,500  </w:t>
        <w:br/>
        <w:t xml:space="preserve">m². However, it should be noted that this threshold, which distinguishes supermarkets from  </w:t>
        <w:br/>
        <w:t xml:space="preserve">hypermarkets, must be used with caution and may be adapted to the specific case, considering that  </w:t>
        <w:br/>
        <w:t xml:space="preserve">stores whose area is close to the threshold, whether below or above, may be in direct competition in  </w:t>
        <w:br/>
        <w:t xml:space="preserve">practice.  </w:t>
        <w:br/>
        <w:t xml:space="preserve">9. In this case, the acquired store currently occupies a sales area of 2,500 m². This store therefore  </w:t>
        <w:br/>
        <w:t xml:space="preserve">falls into the category of hypermarkets.  </w:t>
        <w:br/>
        <w:t xml:space="preserve">2. UPSTREAM SUPPLY MARKETS  </w:t>
        <w:br/>
        <w:t xml:space="preserve">10. Regarding the "upstream" supply markets, the Commission, in its decision M. 2115  </w:t>
        <w:br/>
        <w:t xml:space="preserve">Carrefour/GB of September 28, 2000, has already noted that these markets include "the sale of  </w:t>
        <w:br/>
        <w:t xml:space="preserve">everyday consumer goods by producers to customers such as wholesalers, retailers, or other  </w:t>
        <w:br/>
        <w:t xml:space="preserve">businesses (for example, cafes, hotels, restaurants). The Commission has acknowledged that it is a  </w:t>
        <w:br/>
        <w:t xml:space="preserve">market distribution by product group that is generally considered the best." The decision-making  </w:t>
        <w:br/>
        <w:t xml:space="preserve">practice of the Minister of Economy retains this definition.  </w:t>
        <w:br/>
        <w:t xml:space="preserve">11. There is no need, in the context of this decision, to detail more precisely the families of  </w:t>
        <w:br/>
        <w:t>products concerned.</w:t>
      </w:r>
    </w:p>
    <w:p>
      <w:r>
        <w:rPr>
          <w:b/>
        </w:rPr>
        <w:t>[Pages 4–5]</w:t>
      </w:r>
    </w:p>
    <w:p>
      <w:r>
        <w:t xml:space="preserve">B. GEOGRAPHICAL DELIMITATION OF MARKETS  </w:t>
        <w:br/>
        <w:t xml:space="preserve">1. GEOGRAPHICAL DELIMITATION OF DOWNSTREAM DISTRIBUTION MARKETS  </w:t>
        <w:br/>
        <w:t xml:space="preserve">12. In its recent decisions7 concerning operations involving hypermarkets or supermarkets, the Competition Authority has reiterated that two types of markets are usually distinguished, based on catchment areas:  </w:t>
        <w:br/>
        <w:t xml:space="preserve">- a first market where the demand of consumers from an area meets the supply of hypermarkets accessible to them within less than 30 minutes by car and which are, from their point of view, substitutable with each other;  </w:t>
        <w:br/>
        <w:t xml:space="preserve">- a second market where the demand of consumers, for each location, meets the supply of supermarkets and equivalent forms of commerce substitutable from the perspective of the concerned consumers, stores located within 15 minutes of travel time by car. These latter forms of commerce may include, in addition to supermarkets, hypermarkets located near consumers and discount stores.  </w:t>
        <w:br/>
        <w:t xml:space="preserve">13. Other criteria may nevertheless be taken into account to assess the impact of a concentration on the competitive situation in the retail distribution markets, which may lead to refining, in the specific case, the usual delimitations presented above.  </w:t>
        <w:br/>
        <w:t xml:space="preserve">14. In the specific case, the competitive analysis will be conducted on a catchment area with a radius of 30 minutes of travel around the hypermarket in Gisors for the first market and a radius of 15 minutes for the second market.  </w:t>
        <w:br/>
        <w:t xml:space="preserve">2. GEOGRAPHICAL DELIMITATION OF UPSTREAM SUPPLY MARKETS  </w:t>
        <w:br/>
        <w:t xml:space="preserve">15. Regarding supply markets, the European Commission8 has recognized the existence of markets of national dimension by major product groups, a delimitation followed by national authorities9.  </w:t>
        <w:br/>
        <w:t xml:space="preserve">16. There is no reason to challenge this delimitation in the context of the present operation.  </w:t>
        <w:br/>
        <w:t xml:space="preserve">III. Competitive Analysis  </w:t>
        <w:br/>
        <w:t xml:space="preserve">1. DOWNSTREAM MARKETS OF FOOD DISTRIBUTION  </w:t>
        <w:br/>
        <w:t xml:space="preserve">17. On the first downstream market, comprising hypermarkets located within a catchment area of 30 minutes around Gisors, the market share of hypermarkets operated under a brand belonging to the ITM Entreprises group will reach at most 36% after the operation, according to estimates provided by the parties calculated based on sales area. These two hypermarkets will face competition in this area from a Leclerc-branded hypermarket with a sales area of 6,521 m² (representing 46.5% market share) and a Carrefour-branded hypermarket with a sales area of 2,500 m² (representing 17.8% market share).  </w:t>
        <w:br/>
        <w:t xml:space="preserve">18. On the second downstream market, apart from the store involved in the operation, no other hypermarket, supermarket, or food-dominant discount store operated under a brand belonging to the ITM Entreprises group is present in a catchment area of 15 minutes around Gisors.  </w:t>
        <w:br/>
        <w:t xml:space="preserve">19. Consequently, the operation is not likely to harm competition in the downstream food distribution market.  </w:t>
        <w:br/>
        <w:t xml:space="preserve">2. UPSTREAM SUPPLY MARKETS  </w:t>
        <w:br/>
        <w:t xml:space="preserve">20. Regarding upstream supply markets, the operation, limited to a single store, is not likely to significantly strengthen the purchasing power of the ITM Entreprises group, across all products as well as by major product groups. The strengthening is all the more minor since, prior to the operation, the store subject to the operation was already sourcing [mainly] through the supply subsidiaries of ITM Entreprises.  </w:t>
        <w:br/>
        <w:t xml:space="preserve">DECIDES  </w:t>
        <w:br/>
        <w:t xml:space="preserve">Sole Article: the operation notified under number 09-0114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