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https://www.autoritedelaconcurrence.fr/fr/decision-de-controle-des-concentrations/relative-la-prise-de-controle-exclusif-de-la-societe-vion</w:t>
      </w:r>
    </w:p>
    <w:p>
      <w:r>
        <w:t>Pages translated : 2</w:t>
      </w:r>
    </w:p>
    <w:p/>
    <w:p>
      <w:r>
        <w:rPr>
          <w:b/>
        </w:rPr>
        <w:t>[Pages 1–2]</w:t>
      </w:r>
    </w:p>
    <w:p>
      <w:r>
        <w:t xml:space="preserve">FRENCH REPUBLIC  </w:t>
        <w:br/>
        <w:t xml:space="preserve">Decision No. 26-DCC-148 of July 13, 2026  </w:t>
        <w:br/>
        <w:t xml:space="preserve">regarding the exclusive control acquisition of the company Vion Food Service Holding GmbH by the investment fund Parcom Fund VI  </w:t>
        <w:br/>
        <w:t xml:space="preserve">The Competition Authority,  </w:t>
        <w:br/>
        <w:t xml:space="preserve">Having regard to the complete notification file submitted to the mergers department on June 26, 2026, concerning the exclusive control acquisition of the company Vion Food Service Holding GmbH by the investment fund Parcom Fund VI, formalized by a share purchase agreement signed on June 13, 2026;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investment fund Parcom Fund VI, via the company Meat Acquico Germany II GmbH, a subsidiary of the Dutch group Group of Butchers, of the company Vion Food Service Holding GmbH, which is active, with its subsidiaries, in the marketing of meat-based products and plant-based products.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26-138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